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2C" w:rsidRPr="0047702C" w:rsidRDefault="0047702C" w:rsidP="00EF1E4B">
      <w:pPr>
        <w:jc w:val="center"/>
      </w:pPr>
      <w:r w:rsidRPr="0047702C">
        <w:t>Инструктивное письмо</w:t>
      </w:r>
    </w:p>
    <w:p w:rsidR="0047702C" w:rsidRPr="00EF1E4B" w:rsidRDefault="0047702C" w:rsidP="00EF1E4B">
      <w:pPr>
        <w:pStyle w:val="20"/>
        <w:ind w:right="-1" w:firstLine="709"/>
        <w:jc w:val="center"/>
        <w:rPr>
          <w:rFonts w:ascii="Times New Roman" w:hAnsi="Times New Roman" w:cs="Times New Roman"/>
          <w:snapToGrid w:val="0"/>
        </w:rPr>
      </w:pPr>
      <w:r w:rsidRPr="0047702C">
        <w:rPr>
          <w:rFonts w:ascii="Times New Roman" w:hAnsi="Times New Roman" w:cs="Times New Roman"/>
          <w:snapToGrid w:val="0"/>
        </w:rPr>
        <w:t xml:space="preserve">по установлению единообразного подхода </w:t>
      </w:r>
      <w:r w:rsidR="00970703">
        <w:rPr>
          <w:rFonts w:ascii="Times New Roman" w:hAnsi="Times New Roman" w:cs="Times New Roman"/>
          <w:snapToGrid w:val="0"/>
        </w:rPr>
        <w:t>к определению ликвидационной стоимости объектов основных средств</w:t>
      </w:r>
      <w:r w:rsidRPr="0047702C">
        <w:rPr>
          <w:rFonts w:ascii="Times New Roman" w:hAnsi="Times New Roman" w:cs="Times New Roman"/>
          <w:snapToGrid w:val="0"/>
        </w:rPr>
        <w:t>.</w:t>
      </w:r>
    </w:p>
    <w:p w:rsidR="0047702C" w:rsidRPr="00EF1E4B" w:rsidRDefault="0047702C" w:rsidP="00EF1E4B">
      <w:pPr>
        <w:pStyle w:val="20"/>
        <w:ind w:right="-1" w:firstLine="0"/>
        <w:rPr>
          <w:rFonts w:ascii="Times New Roman" w:hAnsi="Times New Roman" w:cs="Times New Roman"/>
          <w:snapToGrid w:val="0"/>
        </w:rPr>
      </w:pP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proofErr w:type="gramStart"/>
      <w:r>
        <w:t>В целях формирования в бухгалтерском учете полной и достоверной информации об объектах основных средств, находящихся у организации на праве собственности, хозяйственного ведения, главный бухгалтер организации или лицо, на которое в соответствии с законодательством Приднестровской Молдавской Республики возложено ведение бухгалтерского учета и подготовка финансовой отчетности, в соответствующем разделе учетной политики закрепляет правила и порядок учета основных средств, включая особенности амортизационной политики.</w:t>
      </w:r>
      <w:proofErr w:type="gramEnd"/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proofErr w:type="gramStart"/>
      <w:r>
        <w:t xml:space="preserve">Указанный раздел учетной политики организации формируется в соответствии с основополагающими учетными принципами бухгалтерского учета, установленными Законом </w:t>
      </w:r>
      <w:r w:rsidRPr="006F23F8">
        <w:t xml:space="preserve">Приднестровской Молдавской Республики </w:t>
      </w:r>
      <w:r w:rsidRPr="006F23F8">
        <w:rPr>
          <w:shd w:val="clear" w:color="auto" w:fill="FFFFFF"/>
        </w:rPr>
        <w:t xml:space="preserve">от </w:t>
      </w:r>
      <w:r w:rsidRPr="006F23F8">
        <w:t xml:space="preserve">17 августа 2004 года № 467-З-III </w:t>
      </w:r>
      <w:r>
        <w:br/>
      </w:r>
      <w:r w:rsidRPr="006F23F8">
        <w:t>«О бухгалтерском учете и финансовой отчетности» (в текущей редакции)</w:t>
      </w:r>
      <w:r>
        <w:t xml:space="preserve"> (далее - Закон </w:t>
      </w:r>
      <w:r>
        <w:br/>
        <w:t>ПМР «О бухгалтерском учете и финансовой отчетности»), Стандартом бухгалтерского учета № 16 «Основные средства»</w:t>
      </w:r>
      <w:r w:rsidRPr="00226CE9">
        <w:t>, утвержденного</w:t>
      </w:r>
      <w:r>
        <w:t xml:space="preserve"> Приказом Министерства финансов Приднестровской Молдавской Республики от 2 июля 2009</w:t>
      </w:r>
      <w:proofErr w:type="gramEnd"/>
      <w:r>
        <w:t xml:space="preserve"> года № 175 (в текущей редакции) </w:t>
      </w:r>
      <w:r w:rsidRPr="00226CE9">
        <w:t>(далее – СБУ № 16)</w:t>
      </w:r>
      <w:r>
        <w:t>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Следует отметить, что в</w:t>
      </w:r>
      <w:r w:rsidRPr="006F23F8">
        <w:t xml:space="preserve"> соответствии с </w:t>
      </w:r>
      <w:r>
        <w:t>частью первой пункта</w:t>
      </w:r>
      <w:r w:rsidRPr="006F23F8">
        <w:t xml:space="preserve"> 3 статьи 3 Закона </w:t>
      </w:r>
      <w:r>
        <w:t xml:space="preserve">ПМР </w:t>
      </w:r>
      <w:proofErr w:type="gramStart"/>
      <w:r>
        <w:t>«О бухгалтерском учете и финансовой отчетности»</w:t>
      </w:r>
      <w:r w:rsidRPr="006F23F8">
        <w:t xml:space="preserve"> бухгалтерский учет и финансовая отчетность организации должны основываться на </w:t>
      </w:r>
      <w:r w:rsidRPr="00684C07">
        <w:t>принципе достоверности, как</w:t>
      </w:r>
      <w:r w:rsidRPr="006F23F8">
        <w:t xml:space="preserve"> требовании к бухгалтерскому учету и финансовой отчетности организации по достоверному отражению имущественного и финансового положения организации и финансовых результатов ее деятельности, свободных от значимых ошибок и необъективности, которое полно и беспристрастно должно отражать истинное положение дел. </w:t>
      </w:r>
      <w:proofErr w:type="gramEnd"/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Что касается непосредственно соблюдения норм СБУ № 16 и, как следствие, формирования амортизационной политики организации с учетом указанных основополагающих принципов бухгалтерского учета, необходимо отметить следующее.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В соответствии с понятийным аппаратом, установленным пунктом 10 СБУ № 16: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-</w:t>
      </w:r>
      <w:r>
        <w:tab/>
        <w:t>а</w:t>
      </w:r>
      <w:r w:rsidRPr="001D4AFA">
        <w:t>мортизируемая стоимость - себестоимость актива или другая сумма, отраженная вместо себестоимости, за в</w:t>
      </w:r>
      <w:r>
        <w:t>ычетом ликвидационной стоимости;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-</w:t>
      </w:r>
      <w:r>
        <w:tab/>
        <w:t xml:space="preserve">ликвидационная стоимость актива - расчетная сумма, которую организация получила бы на текущий момент от реализации актива за вычетом предполагаемых затрат на выбытие, если бы данный актив уже достиг того возраста и состояния, в котором он будет находиться в конце срока полезной службы; 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-</w:t>
      </w:r>
      <w:r>
        <w:tab/>
        <w:t xml:space="preserve">срок полезной службы - период времени, на протяжении которого организация предполагает использовать актив, либо количество единиц производства или аналогичных единиц, которые организация ожидает получить от использования актива. 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Порядок определения величины амортизируемой стоимости, ликвидационной стоимости, срока полезного использования регламентирован разделом 5 «Оценка после признания» СБУ № 16.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Таким образом, в целях определения величины амортизационных начислений, в первую очередь, необходимо определиться с величиной амортизируемой стоимости. Согласно пункту 57 СБУ № 16 амортизируемая стоимость актива определяется после вычитания его ликвидационной стоимости из первоначальной стоимости (себестоимости). Ликвидационная стоимость актива, как правило, бывает незначительной, и поэтому не играет существенной роли при вычислении амортизируемой стоимости.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Как показывает практика, ликвидационная стоимость в конце срока полезного использования может быть равна: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а)</w:t>
      </w:r>
      <w:r>
        <w:tab/>
        <w:t xml:space="preserve">стоимости активов (металлолома, </w:t>
      </w:r>
      <w:r w:rsidRPr="00785DD4">
        <w:t>детал</w:t>
      </w:r>
      <w:r>
        <w:t>ей</w:t>
      </w:r>
      <w:r w:rsidRPr="00785DD4">
        <w:t>, узл</w:t>
      </w:r>
      <w:r>
        <w:t xml:space="preserve">ов, </w:t>
      </w:r>
      <w:r w:rsidRPr="00785DD4">
        <w:t>агрегат</w:t>
      </w:r>
      <w:r>
        <w:t>ов</w:t>
      </w:r>
      <w:r w:rsidRPr="00785DD4">
        <w:t xml:space="preserve"> </w:t>
      </w:r>
      <w:r>
        <w:t xml:space="preserve">и </w:t>
      </w:r>
      <w:r w:rsidRPr="00785DD4">
        <w:t>други</w:t>
      </w:r>
      <w:r>
        <w:t>х</w:t>
      </w:r>
      <w:r w:rsidRPr="00785DD4">
        <w:t xml:space="preserve"> материал</w:t>
      </w:r>
      <w:r>
        <w:t>ов), предполагаемых к получению в конце срока полезного использования основного средства в результате разборки (демонтажа);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 w:rsidRPr="006F4A2C">
        <w:lastRenderedPageBreak/>
        <w:t>б)</w:t>
      </w:r>
      <w:r>
        <w:tab/>
      </w:r>
      <w:r w:rsidRPr="006F4A2C">
        <w:t>нулю</w:t>
      </w:r>
      <w:r>
        <w:t xml:space="preserve">, в случае если предполагаемые к получению активы (металлолом, </w:t>
      </w:r>
      <w:r w:rsidRPr="00785DD4">
        <w:t>детал</w:t>
      </w:r>
      <w:r>
        <w:t>и</w:t>
      </w:r>
      <w:r w:rsidRPr="00785DD4">
        <w:t>, узл</w:t>
      </w:r>
      <w:r>
        <w:t xml:space="preserve">ы, </w:t>
      </w:r>
      <w:r w:rsidRPr="00785DD4">
        <w:t>агрегат</w:t>
      </w:r>
      <w:r>
        <w:t>ы</w:t>
      </w:r>
      <w:r w:rsidRPr="00785DD4">
        <w:t xml:space="preserve"> </w:t>
      </w:r>
      <w:r>
        <w:t xml:space="preserve">и </w:t>
      </w:r>
      <w:r w:rsidRPr="00785DD4">
        <w:t>други</w:t>
      </w:r>
      <w:r>
        <w:t>е</w:t>
      </w:r>
      <w:r w:rsidRPr="00785DD4">
        <w:t xml:space="preserve"> материал</w:t>
      </w:r>
      <w:r>
        <w:t xml:space="preserve">ы) </w:t>
      </w:r>
      <w:r w:rsidRPr="006F4A2C">
        <w:rPr>
          <w:color w:val="000000"/>
        </w:rPr>
        <w:t>не представля</w:t>
      </w:r>
      <w:r>
        <w:rPr>
          <w:color w:val="000000"/>
        </w:rPr>
        <w:t>ю</w:t>
      </w:r>
      <w:r w:rsidRPr="006F4A2C">
        <w:rPr>
          <w:color w:val="000000"/>
        </w:rPr>
        <w:t xml:space="preserve">т никакой ценности и </w:t>
      </w:r>
      <w:r>
        <w:rPr>
          <w:color w:val="000000"/>
        </w:rPr>
        <w:t xml:space="preserve">не будут </w:t>
      </w:r>
      <w:r w:rsidRPr="006F4A2C">
        <w:t>пригод</w:t>
      </w:r>
      <w:r>
        <w:t xml:space="preserve">ны </w:t>
      </w:r>
      <w:r w:rsidRPr="006F4A2C">
        <w:t xml:space="preserve">для дальнейшего использования в производственном процессе </w:t>
      </w:r>
      <w:r>
        <w:t>(</w:t>
      </w:r>
      <w:r w:rsidRPr="006F4A2C">
        <w:t>реализации</w:t>
      </w:r>
      <w:r>
        <w:t>) либо стоимость работ по разборке (демонтажу) будет превышать стоимость предполагаемых к получению активов.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Обращаем внимание, что действующее законодательство Приднестровской Молдавской Республики в области бухгалтерского учета не содержит каких-либо методик по расчету ликвидационной стоимости. Однако, исходя непосредственно из определения ликвидационной стоимости, а также иных норм СБУ № 16, регламентирующих применение ликвидационной стоимости, организация вправе самостоятельно, учитывая специфику осуществления ею финансово-хозяйственной деятельности, разработать и утвердить в рамках учетной политики порядок расчета ликвидационной стоимости.</w:t>
      </w:r>
    </w:p>
    <w:p w:rsidR="0047702C" w:rsidRPr="003D4DBE" w:rsidRDefault="0047702C" w:rsidP="00EF1E4B">
      <w:pPr>
        <w:tabs>
          <w:tab w:val="left" w:pos="993"/>
          <w:tab w:val="left" w:pos="9360"/>
        </w:tabs>
        <w:ind w:firstLine="720"/>
        <w:jc w:val="both"/>
      </w:pPr>
      <w:r w:rsidRPr="00FD417F">
        <w:t xml:space="preserve">Расчет ликвидационной стоимости должен быть документально оформлен, например, в виде справки (справки-расчета). </w:t>
      </w:r>
      <w:proofErr w:type="gramStart"/>
      <w:r w:rsidRPr="00FD417F">
        <w:t>Величина рассчитанной ликвидационной стоимости в</w:t>
      </w:r>
      <w:r>
        <w:t xml:space="preserve"> качестве справочной информации</w:t>
      </w:r>
      <w:r w:rsidRPr="00FD417F">
        <w:t xml:space="preserve"> может найти свое отражение в одном из первичных учетных документов по учету основных средств (например, в инвентарной карточке учета основных средств, акте приема – передачи основных средств и др.</w:t>
      </w:r>
      <w:r>
        <w:t xml:space="preserve">), то есть </w:t>
      </w:r>
      <w:r w:rsidRPr="002037B8">
        <w:t>ликвидационная стоимость – отдельная расчетная сумма, которая не подлежит отражению в бухгалтерском учете</w:t>
      </w:r>
      <w:r>
        <w:t xml:space="preserve"> и</w:t>
      </w:r>
      <w:r w:rsidRPr="002037B8">
        <w:t xml:space="preserve"> служит </w:t>
      </w:r>
      <w:r>
        <w:t xml:space="preserve">исключительно </w:t>
      </w:r>
      <w:r w:rsidRPr="002037B8">
        <w:t>д</w:t>
      </w:r>
      <w:r>
        <w:t xml:space="preserve">ля целей определения амортизируемой </w:t>
      </w:r>
      <w:r w:rsidRPr="003D4DBE">
        <w:t>стоимости.</w:t>
      </w:r>
      <w:proofErr w:type="gramEnd"/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 w:rsidRPr="003D4DBE">
        <w:t xml:space="preserve">Вторым важным аспектом при формировании амортизационной политики является </w:t>
      </w:r>
      <w:r>
        <w:t xml:space="preserve">установление действительных (фактических) сроков полезного использования. 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>Так, в соответствии с пунктом 54 СБУ № 16 амортизируемая стоимость актива в обязательном порядке и на систематической основе должна распределяться согласно сроку его полезной службы. Ликвидационная стоимость и срок полезной службы актива в обязательном порядке должны пересматриваться в конце каждого финансового года (</w:t>
      </w:r>
      <w:r w:rsidRPr="00D36D3D">
        <w:t>норм</w:t>
      </w:r>
      <w:r>
        <w:t>ы</w:t>
      </w:r>
      <w:r w:rsidRPr="00D36D3D">
        <w:t xml:space="preserve"> пункта </w:t>
      </w:r>
      <w:r>
        <w:t>55 СБУ № 16).</w:t>
      </w:r>
    </w:p>
    <w:p w:rsidR="0047702C" w:rsidRPr="0043153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>
        <w:rPr>
          <w:i/>
        </w:rPr>
        <w:t>Рассмотрим пример:</w:t>
      </w:r>
    </w:p>
    <w:p w:rsidR="0047702C" w:rsidRPr="0043153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 w:rsidRPr="00431539">
        <w:rPr>
          <w:i/>
        </w:rPr>
        <w:t>-</w:t>
      </w:r>
      <w:r w:rsidRPr="00431539">
        <w:rPr>
          <w:i/>
        </w:rPr>
        <w:tab/>
        <w:t>первоначальная стоимость основного средства – 5 000 рублей ПМР;</w:t>
      </w:r>
    </w:p>
    <w:p w:rsidR="0047702C" w:rsidRPr="0043153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 w:rsidRPr="00431539">
        <w:rPr>
          <w:i/>
        </w:rPr>
        <w:t>-</w:t>
      </w:r>
      <w:r w:rsidRPr="00431539">
        <w:rPr>
          <w:i/>
        </w:rPr>
        <w:tab/>
        <w:t xml:space="preserve">срок полезного использования – 5 лет (соответственно годовая норма амортизации – 20%). </w:t>
      </w:r>
    </w:p>
    <w:p w:rsidR="0047702C" w:rsidRPr="0043153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 w:rsidRPr="00431539">
        <w:rPr>
          <w:i/>
        </w:rPr>
        <w:t>-</w:t>
      </w:r>
      <w:r w:rsidRPr="00431539">
        <w:rPr>
          <w:i/>
        </w:rPr>
        <w:tab/>
        <w:t>ликвидационная стоимость – 100 рублей ПМР (т. е. предполагается, что через 5 лет организация получит и сможет реализовать активы, полученные в результате списания (ликвидации) основного средства</w:t>
      </w:r>
      <w:r>
        <w:rPr>
          <w:i/>
        </w:rPr>
        <w:t>,</w:t>
      </w:r>
      <w:r w:rsidRPr="00431539">
        <w:rPr>
          <w:i/>
        </w:rPr>
        <w:t xml:space="preserve"> на сумму 100 рублей ПМР).</w:t>
      </w:r>
    </w:p>
    <w:p w:rsidR="0047702C" w:rsidRPr="0043153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 w:rsidRPr="00431539">
        <w:rPr>
          <w:i/>
        </w:rPr>
        <w:t>Исходя из предложенных условий</w:t>
      </w:r>
      <w:r>
        <w:rPr>
          <w:i/>
        </w:rPr>
        <w:t>,</w:t>
      </w:r>
      <w:r w:rsidRPr="00431539">
        <w:rPr>
          <w:i/>
        </w:rPr>
        <w:t xml:space="preserve"> сумма амортизационных отчислений рассчитывается следующим образом:</w:t>
      </w:r>
    </w:p>
    <w:p w:rsidR="0047702C" w:rsidRPr="0043153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 w:rsidRPr="00431539">
        <w:rPr>
          <w:i/>
        </w:rPr>
        <w:t>Амортизируемая стоимость = первоначальная стоимость – ликвидационная стоимость = 5 000 рублей ПМР – 100 рублей ПМР = 4 900 рублей ПМР</w:t>
      </w:r>
    </w:p>
    <w:p w:rsidR="0047702C" w:rsidRPr="0043153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 w:rsidRPr="00431539">
        <w:rPr>
          <w:i/>
        </w:rPr>
        <w:t>4 900 рублей ПМР * 20% = 980 рублей ПМР – годовая сумма амортизационных отчислений.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proofErr w:type="gramStart"/>
      <w:r w:rsidRPr="00431539">
        <w:rPr>
          <w:i/>
        </w:rPr>
        <w:t xml:space="preserve">В связи с тем, что срок полезной службы актива в обязательном порядке должен пересматриваться в конце каждого финансового года, </w:t>
      </w:r>
      <w:r w:rsidRPr="007B09D4">
        <w:rPr>
          <w:i/>
          <w:u w:val="single"/>
        </w:rPr>
        <w:t>специалистами технической службы</w:t>
      </w:r>
      <w:r w:rsidRPr="00431539">
        <w:rPr>
          <w:i/>
        </w:rPr>
        <w:t xml:space="preserve"> по результатам обследования основного средства может быть пересмотрен срок полезного использования и, например, по истечении двух лет, будет принято решение, что данное основное средство может прослужить </w:t>
      </w:r>
      <w:r>
        <w:rPr>
          <w:i/>
        </w:rPr>
        <w:t xml:space="preserve">уже </w:t>
      </w:r>
      <w:r w:rsidRPr="00431539">
        <w:rPr>
          <w:i/>
        </w:rPr>
        <w:t xml:space="preserve">не 3, а </w:t>
      </w:r>
      <w:r>
        <w:rPr>
          <w:i/>
        </w:rPr>
        <w:t>еще 4 года (то есть фактически первоначальный пятилетний</w:t>
      </w:r>
      <w:proofErr w:type="gramEnd"/>
      <w:r>
        <w:rPr>
          <w:i/>
        </w:rPr>
        <w:t xml:space="preserve"> срок продлен еще на год).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>
        <w:rPr>
          <w:i/>
        </w:rPr>
        <w:t>Соответственно,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 xml:space="preserve">остаточная стоимость через 2 года составит 3 040 рублей ПМР </w:t>
      </w:r>
      <w:r>
        <w:rPr>
          <w:i/>
        </w:rPr>
        <w:br/>
        <w:t>(5 000 рублей ПМР – (980 рублей ПМР * 2));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 xml:space="preserve">пересмотренный срок полезного использования – 4 года </w:t>
      </w:r>
      <w:r w:rsidRPr="00431539">
        <w:rPr>
          <w:i/>
        </w:rPr>
        <w:t>(соответственно годовая норма амортизации – 2</w:t>
      </w:r>
      <w:r>
        <w:rPr>
          <w:i/>
        </w:rPr>
        <w:t>5</w:t>
      </w:r>
      <w:r w:rsidRPr="00431539">
        <w:rPr>
          <w:i/>
        </w:rPr>
        <w:t>%)</w:t>
      </w:r>
      <w:r>
        <w:rPr>
          <w:i/>
        </w:rPr>
        <w:t>;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>
        <w:rPr>
          <w:i/>
        </w:rPr>
        <w:t>-</w:t>
      </w:r>
      <w:r>
        <w:rPr>
          <w:i/>
        </w:rPr>
        <w:tab/>
        <w:t>ликвидационная стоимость – 100 рублей ПМР</w:t>
      </w:r>
      <w:r w:rsidR="00083C23">
        <w:rPr>
          <w:i/>
          <w:lang w:val="en-US"/>
        </w:rPr>
        <w:t xml:space="preserve"> </w:t>
      </w:r>
      <w:r>
        <w:rPr>
          <w:i/>
        </w:rPr>
        <w:t xml:space="preserve">(предположим, что ликвидационная стоимость через 2 года эксплуатации объекта основного средства не изменилась), тогда </w:t>
      </w:r>
      <w:r w:rsidRPr="00431539">
        <w:rPr>
          <w:i/>
        </w:rPr>
        <w:lastRenderedPageBreak/>
        <w:t xml:space="preserve">Амортизируемая стоимость = первоначальная стоимость – ликвидационная стоимость = </w:t>
      </w:r>
      <w:r>
        <w:rPr>
          <w:i/>
        </w:rPr>
        <w:t xml:space="preserve">3 040 </w:t>
      </w:r>
      <w:r w:rsidRPr="00431539">
        <w:rPr>
          <w:i/>
        </w:rPr>
        <w:t>рублей ПМР – 1</w:t>
      </w:r>
      <w:r>
        <w:rPr>
          <w:i/>
        </w:rPr>
        <w:t>0</w:t>
      </w:r>
      <w:r w:rsidRPr="00431539">
        <w:rPr>
          <w:i/>
        </w:rPr>
        <w:t xml:space="preserve">0 рублей ПМР = </w:t>
      </w:r>
      <w:r>
        <w:rPr>
          <w:i/>
        </w:rPr>
        <w:t>2</w:t>
      </w:r>
      <w:r w:rsidRPr="00431539">
        <w:rPr>
          <w:i/>
        </w:rPr>
        <w:t> 9</w:t>
      </w:r>
      <w:r>
        <w:rPr>
          <w:i/>
        </w:rPr>
        <w:t>4</w:t>
      </w:r>
      <w:r w:rsidRPr="00431539">
        <w:rPr>
          <w:i/>
        </w:rPr>
        <w:t>0 рублей ПМР</w:t>
      </w:r>
      <w:r>
        <w:rPr>
          <w:i/>
        </w:rPr>
        <w:t xml:space="preserve">, </w:t>
      </w:r>
    </w:p>
    <w:p w:rsidR="0047702C" w:rsidRPr="0043153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i/>
        </w:rPr>
      </w:pPr>
      <w:r>
        <w:rPr>
          <w:i/>
        </w:rPr>
        <w:t xml:space="preserve">а </w:t>
      </w:r>
      <w:r w:rsidRPr="00431539">
        <w:rPr>
          <w:i/>
        </w:rPr>
        <w:t>годовая с</w:t>
      </w:r>
      <w:r>
        <w:rPr>
          <w:i/>
        </w:rPr>
        <w:t>умма амортизационных отчислений составит 2</w:t>
      </w:r>
      <w:r w:rsidRPr="00431539">
        <w:rPr>
          <w:i/>
        </w:rPr>
        <w:t> 9</w:t>
      </w:r>
      <w:r>
        <w:rPr>
          <w:i/>
        </w:rPr>
        <w:t>4</w:t>
      </w:r>
      <w:r w:rsidRPr="00431539">
        <w:rPr>
          <w:i/>
        </w:rPr>
        <w:t>0 рублей ПМР</w:t>
      </w:r>
      <w:r>
        <w:rPr>
          <w:i/>
        </w:rPr>
        <w:t xml:space="preserve"> *25 % = 735 рублей ПМ, то есть в последующие периоды сумма начисляемой в год амортизации </w:t>
      </w:r>
      <w:proofErr w:type="gramStart"/>
      <w:r>
        <w:rPr>
          <w:i/>
        </w:rPr>
        <w:t>изменится</w:t>
      </w:r>
      <w:proofErr w:type="gramEnd"/>
      <w:r>
        <w:rPr>
          <w:i/>
        </w:rPr>
        <w:t>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proofErr w:type="gramStart"/>
      <w:r>
        <w:t>Важно отметить, что</w:t>
      </w:r>
      <w:r w:rsidRPr="007A0D20">
        <w:t xml:space="preserve"> </w:t>
      </w:r>
      <w:r>
        <w:t>обязательным является не только определение ликвидационной стоимости объекта основного средства (даже если в результате расчета ликвидационная стоимость будет принята равной нулю), а применение в совокупности норм СБУ № 16, направленных на формирование достоверной информации о стоимости основного средства и справедливое отнесение сумм начисленной амортизации на затраты (расходы) организации с учетом корректного определения сроков полезного использования основного средства.</w:t>
      </w:r>
      <w:proofErr w:type="gramEnd"/>
    </w:p>
    <w:p w:rsidR="0047702C" w:rsidRPr="00AA68B9" w:rsidRDefault="0047702C" w:rsidP="00EF1E4B">
      <w:pPr>
        <w:tabs>
          <w:tab w:val="left" w:pos="993"/>
          <w:tab w:val="left" w:pos="9360"/>
        </w:tabs>
        <w:ind w:firstLine="720"/>
        <w:jc w:val="both"/>
        <w:rPr>
          <w:u w:val="single"/>
        </w:rPr>
      </w:pPr>
      <w:r>
        <w:t>Таким образом, при правильно сформированной амортизационной политике остаточная стоимость основного средства в момент окончания срока полезного использования (то есть когда предполагается его окончательное списание) будет равна ликвидационной стоимости, то есть стоимости активов (</w:t>
      </w:r>
      <w:r w:rsidRPr="00785DD4">
        <w:t>детал</w:t>
      </w:r>
      <w:r>
        <w:t>ей</w:t>
      </w:r>
      <w:r w:rsidRPr="00785DD4">
        <w:t>, узл</w:t>
      </w:r>
      <w:r>
        <w:t xml:space="preserve">ов, </w:t>
      </w:r>
      <w:r w:rsidRPr="00785DD4">
        <w:t>агрегат</w:t>
      </w:r>
      <w:r>
        <w:t>ов</w:t>
      </w:r>
      <w:r w:rsidRPr="00785DD4">
        <w:t xml:space="preserve"> </w:t>
      </w:r>
      <w:r>
        <w:t xml:space="preserve">и </w:t>
      </w:r>
      <w:r w:rsidRPr="00785DD4">
        <w:t>други</w:t>
      </w:r>
      <w:r>
        <w:t>х</w:t>
      </w:r>
      <w:r w:rsidRPr="00785DD4">
        <w:t xml:space="preserve"> материал</w:t>
      </w:r>
      <w:r>
        <w:t xml:space="preserve">ов), предполагаемых к получению в конце срока полезного использования основного средства, или нулю. </w:t>
      </w:r>
      <w:r w:rsidRPr="00AA68B9">
        <w:rPr>
          <w:u w:val="single"/>
        </w:rPr>
        <w:t xml:space="preserve">При этом дополнительно обращаем внимание, что не </w:t>
      </w:r>
      <w:r>
        <w:rPr>
          <w:u w:val="single"/>
        </w:rPr>
        <w:t>планируется</w:t>
      </w:r>
      <w:r w:rsidRPr="00AA68B9">
        <w:rPr>
          <w:u w:val="single"/>
        </w:rPr>
        <w:t xml:space="preserve"> дальнейшее использование такого объекта.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 xml:space="preserve">Вместе с тем, следует отметить, в случае если остаточная (балансовая) стоимость актива равна нулю, тогда как предполагается дальнейшее использование данного объекта, такая ситуация свидетельствует о некорректно проводимой амортизационной политике в организации. </w:t>
      </w:r>
    </w:p>
    <w:p w:rsidR="0047702C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 xml:space="preserve">При этом обращаем внимание, что в соответствии со статьей 15.12 Кодекса Приднестровской Молдавской Республики об административных правонарушениях предусмотрена административная ответственность за ведение </w:t>
      </w:r>
      <w:r w:rsidRPr="006437DF">
        <w:t>бухгалтерского учета в организации, независимо от формы собственности, с грубым нарушением требований к бухгалтерскому учету и (или) финансовой отчетности</w:t>
      </w:r>
      <w:r>
        <w:t xml:space="preserve">. В соответствии с подпунктом б) пункта 1 примечаний к указанной статье под </w:t>
      </w:r>
      <w:r w:rsidRPr="006437DF">
        <w:t>грубым нарушением требований к бухгалтерскому учету и (или) финансовой отчетности понимается</w:t>
      </w:r>
      <w:r>
        <w:t>, в том числе искажение любого показателя финансовой отчетности, выраженного в денежном измерении, не менее чем на 10 процентов.</w:t>
      </w:r>
    </w:p>
    <w:p w:rsidR="0047702C" w:rsidRPr="003B0F5F" w:rsidRDefault="0047702C" w:rsidP="00EF1E4B">
      <w:pPr>
        <w:tabs>
          <w:tab w:val="left" w:pos="993"/>
          <w:tab w:val="left" w:pos="9360"/>
        </w:tabs>
        <w:ind w:firstLine="720"/>
        <w:jc w:val="both"/>
      </w:pPr>
      <w:r>
        <w:t xml:space="preserve">Таким образом, во избежание искажения финансовой отчетности </w:t>
      </w:r>
      <w:r w:rsidRPr="001910EB">
        <w:t>организаци</w:t>
      </w:r>
      <w:r>
        <w:t xml:space="preserve">и следует </w:t>
      </w:r>
      <w:r w:rsidRPr="001910EB">
        <w:t xml:space="preserve">переоценить объект основных средств путем доведения стоимости актива до </w:t>
      </w:r>
      <w:r w:rsidRPr="006C12E6">
        <w:t>справедливой (рыночной)</w:t>
      </w:r>
      <w:r w:rsidRPr="001910EB">
        <w:t xml:space="preserve"> цен</w:t>
      </w:r>
      <w:r w:rsidRPr="006C12E6">
        <w:t xml:space="preserve">ы, которая </w:t>
      </w:r>
      <w:r>
        <w:t xml:space="preserve">в целях обеспечения объективного и беспристрастного подхода к оценке, как </w:t>
      </w:r>
      <w:r w:rsidRPr="006C12E6">
        <w:t>правило, производится профессиональными оценщиками.</w:t>
      </w:r>
      <w:r>
        <w:t xml:space="preserve"> Одновременно обращаем внимание, что если производится переоценка отдельного объекта основных средств, то переоценке подлежит и весь класс основных средств, к которому относится данный актив (пункт 40 СБУ № 16). При этом на практике в целях</w:t>
      </w:r>
      <w:r w:rsidRPr="003B0F5F">
        <w:t xml:space="preserve"> удешевления процедуры проведения переоценки посредством привлеч</w:t>
      </w:r>
      <w:r>
        <w:t xml:space="preserve">ения профессиональных оценщиков допускается возможность </w:t>
      </w:r>
      <w:r w:rsidRPr="003B0F5F">
        <w:t>разукрупнения классов</w:t>
      </w:r>
      <w:r>
        <w:t xml:space="preserve"> в группы (подгруппы) основных средств.</w:t>
      </w:r>
    </w:p>
    <w:p w:rsidR="000D1BA5" w:rsidRPr="0047702C" w:rsidRDefault="000D1BA5" w:rsidP="00EF1E4B"/>
    <w:p w:rsidR="0047702C" w:rsidRPr="0047702C" w:rsidRDefault="0047702C" w:rsidP="00EF1E4B"/>
    <w:sectPr w:rsidR="0047702C" w:rsidRPr="0047702C" w:rsidSect="00EF1E4B">
      <w:headerReference w:type="default" r:id="rId6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833" w:rsidRDefault="00260833" w:rsidP="00EF1E4B">
      <w:r>
        <w:separator/>
      </w:r>
    </w:p>
  </w:endnote>
  <w:endnote w:type="continuationSeparator" w:id="1">
    <w:p w:rsidR="00260833" w:rsidRDefault="00260833" w:rsidP="00EF1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833" w:rsidRDefault="00260833" w:rsidP="00EF1E4B">
      <w:r>
        <w:separator/>
      </w:r>
    </w:p>
  </w:footnote>
  <w:footnote w:type="continuationSeparator" w:id="1">
    <w:p w:rsidR="00260833" w:rsidRDefault="00260833" w:rsidP="00EF1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657"/>
      <w:docPartObj>
        <w:docPartGallery w:val="Page Numbers (Top of Page)"/>
        <w:docPartUnique/>
      </w:docPartObj>
    </w:sdtPr>
    <w:sdtContent>
      <w:p w:rsidR="00EF1E4B" w:rsidRDefault="00BB679F">
        <w:pPr>
          <w:pStyle w:val="a3"/>
          <w:jc w:val="center"/>
        </w:pPr>
        <w:fldSimple w:instr=" PAGE   \* MERGEFORMAT ">
          <w:r w:rsidR="00083C23">
            <w:rPr>
              <w:noProof/>
            </w:rPr>
            <w:t>3</w:t>
          </w:r>
        </w:fldSimple>
      </w:p>
    </w:sdtContent>
  </w:sdt>
  <w:p w:rsidR="00EF1E4B" w:rsidRDefault="00EF1E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2C"/>
    <w:rsid w:val="00083C23"/>
    <w:rsid w:val="000D1BA5"/>
    <w:rsid w:val="00260833"/>
    <w:rsid w:val="002B08E7"/>
    <w:rsid w:val="0040404F"/>
    <w:rsid w:val="0047702C"/>
    <w:rsid w:val="005B3901"/>
    <w:rsid w:val="00707C9F"/>
    <w:rsid w:val="008E6D7F"/>
    <w:rsid w:val="00970703"/>
    <w:rsid w:val="00984494"/>
    <w:rsid w:val="009B655E"/>
    <w:rsid w:val="00AF4219"/>
    <w:rsid w:val="00BB679F"/>
    <w:rsid w:val="00EF1E4B"/>
    <w:rsid w:val="00FA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47702C"/>
    <w:rPr>
      <w:sz w:val="24"/>
      <w:szCs w:val="24"/>
    </w:rPr>
  </w:style>
  <w:style w:type="paragraph" w:styleId="20">
    <w:name w:val="Body Text Indent 2"/>
    <w:basedOn w:val="a"/>
    <w:link w:val="2"/>
    <w:rsid w:val="0047702C"/>
    <w:pPr>
      <w:ind w:right="-999" w:firstLine="851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4770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F1E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1E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1519</Words>
  <Characters>8661</Characters>
  <Application>Microsoft Office Word</Application>
  <DocSecurity>0</DocSecurity>
  <Lines>72</Lines>
  <Paragraphs>20</Paragraphs>
  <ScaleCrop>false</ScaleCrop>
  <Company>Microsoft</Company>
  <LinksUpToDate>false</LinksUpToDate>
  <CharactersWithSpaces>10160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kirchioglo-a</dc:creator>
  <cp:keywords/>
  <dc:description/>
  <cp:lastModifiedBy>kirchioglo-a</cp:lastModifiedBy>
  <cp:revision>9</cp:revision>
  <dcterms:created xsi:type="dcterms:W3CDTF">2018-03-29T13:50:00Z</dcterms:created>
  <dcterms:modified xsi:type="dcterms:W3CDTF">2018-04-05T06:10:00Z</dcterms:modified>
</cp:coreProperties>
</file>