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21" w:rsidRPr="005816E1" w:rsidRDefault="00C67421" w:rsidP="00282ABE">
      <w:pPr>
        <w:pStyle w:val="1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E1">
        <w:rPr>
          <w:rFonts w:ascii="Times New Roman" w:hAnsi="Times New Roman" w:cs="Times New Roman"/>
          <w:sz w:val="24"/>
          <w:szCs w:val="24"/>
        </w:rPr>
        <w:t>Краткие итоги социально-экономического развития Приднестровской Молдавской Республики в 2016 год</w:t>
      </w:r>
      <w:r w:rsidR="006F4A01" w:rsidRPr="005816E1">
        <w:rPr>
          <w:rFonts w:ascii="Times New Roman" w:hAnsi="Times New Roman" w:cs="Times New Roman"/>
          <w:sz w:val="24"/>
          <w:szCs w:val="24"/>
        </w:rPr>
        <w:t>у</w:t>
      </w:r>
    </w:p>
    <w:p w:rsidR="00C05B5D" w:rsidRPr="005816E1" w:rsidRDefault="00C05B5D" w:rsidP="00282ABE">
      <w:pPr>
        <w:spacing w:after="0"/>
      </w:pPr>
    </w:p>
    <w:p w:rsidR="008B04C2" w:rsidRPr="005816E1" w:rsidRDefault="00C67421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816E1">
        <w:rPr>
          <w:rFonts w:ascii="Times New Roman" w:hAnsi="Times New Roman" w:cs="Times New Roman"/>
          <w:sz w:val="24"/>
          <w:szCs w:val="24"/>
        </w:rPr>
        <w:t>2016 год</w:t>
      </w:r>
      <w:r w:rsidR="006F4A01" w:rsidRPr="005816E1">
        <w:rPr>
          <w:rFonts w:ascii="Times New Roman" w:hAnsi="Times New Roman" w:cs="Times New Roman"/>
          <w:sz w:val="24"/>
          <w:szCs w:val="24"/>
        </w:rPr>
        <w:t>у</w:t>
      </w:r>
      <w:r w:rsidR="00184255" w:rsidRPr="00184255">
        <w:rPr>
          <w:rFonts w:ascii="Times New Roman" w:hAnsi="Times New Roman" w:cs="Times New Roman"/>
          <w:sz w:val="24"/>
          <w:szCs w:val="24"/>
        </w:rPr>
        <w:t xml:space="preserve"> </w:t>
      </w:r>
      <w:r w:rsidR="00184255" w:rsidRPr="005816E1">
        <w:rPr>
          <w:rFonts w:ascii="Times New Roman" w:hAnsi="Times New Roman" w:cs="Times New Roman"/>
          <w:sz w:val="24"/>
          <w:szCs w:val="24"/>
        </w:rPr>
        <w:t>развитие экономики республики формировалось в условиях продолжающихся трудностей при осуществлении внешнеэкономической деятельности хозяйствующими субъектами республики</w:t>
      </w:r>
      <w:r w:rsidR="00184255">
        <w:rPr>
          <w:rFonts w:ascii="Times New Roman" w:hAnsi="Times New Roman" w:cs="Times New Roman"/>
          <w:sz w:val="24"/>
          <w:szCs w:val="24"/>
        </w:rPr>
        <w:t>, обусловленных</w:t>
      </w:r>
      <w:r w:rsidR="00C4590F" w:rsidRPr="005816E1">
        <w:rPr>
          <w:rFonts w:ascii="Times New Roman" w:hAnsi="Times New Roman" w:cs="Times New Roman"/>
          <w:sz w:val="24"/>
          <w:szCs w:val="24"/>
        </w:rPr>
        <w:t xml:space="preserve"> </w:t>
      </w:r>
      <w:r w:rsidR="00184255" w:rsidRPr="005816E1">
        <w:rPr>
          <w:rFonts w:ascii="Times New Roman" w:hAnsi="Times New Roman" w:cs="Times New Roman"/>
          <w:sz w:val="24"/>
          <w:szCs w:val="24"/>
        </w:rPr>
        <w:t>ситуаци</w:t>
      </w:r>
      <w:r w:rsidR="00184255">
        <w:rPr>
          <w:rFonts w:ascii="Times New Roman" w:hAnsi="Times New Roman" w:cs="Times New Roman"/>
          <w:sz w:val="24"/>
          <w:szCs w:val="24"/>
        </w:rPr>
        <w:t>ей</w:t>
      </w:r>
      <w:r w:rsidR="00184255" w:rsidRPr="005816E1">
        <w:rPr>
          <w:rFonts w:ascii="Times New Roman" w:hAnsi="Times New Roman" w:cs="Times New Roman"/>
          <w:sz w:val="24"/>
          <w:szCs w:val="24"/>
        </w:rPr>
        <w:t xml:space="preserve"> на мировых сырьевых и товарных рынках</w:t>
      </w:r>
      <w:r w:rsidR="00184255">
        <w:rPr>
          <w:rFonts w:ascii="Times New Roman" w:hAnsi="Times New Roman" w:cs="Times New Roman"/>
          <w:sz w:val="24"/>
          <w:szCs w:val="24"/>
        </w:rPr>
        <w:t xml:space="preserve">, применением </w:t>
      </w:r>
      <w:r w:rsidR="00184255" w:rsidRPr="005816E1">
        <w:rPr>
          <w:rFonts w:ascii="Times New Roman" w:hAnsi="Times New Roman" w:cs="Times New Roman"/>
          <w:sz w:val="24"/>
          <w:szCs w:val="24"/>
        </w:rPr>
        <w:t>многи</w:t>
      </w:r>
      <w:r w:rsidR="00184255">
        <w:rPr>
          <w:rFonts w:ascii="Times New Roman" w:hAnsi="Times New Roman" w:cs="Times New Roman"/>
          <w:sz w:val="24"/>
          <w:szCs w:val="24"/>
        </w:rPr>
        <w:t>ми</w:t>
      </w:r>
      <w:r w:rsidR="00184255" w:rsidRPr="005816E1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="00184255">
        <w:rPr>
          <w:rFonts w:ascii="Times New Roman" w:hAnsi="Times New Roman" w:cs="Times New Roman"/>
          <w:sz w:val="24"/>
          <w:szCs w:val="24"/>
        </w:rPr>
        <w:t>ми</w:t>
      </w:r>
      <w:r w:rsidR="00184255" w:rsidRPr="005816E1">
        <w:rPr>
          <w:rFonts w:ascii="Times New Roman" w:hAnsi="Times New Roman" w:cs="Times New Roman"/>
          <w:sz w:val="24"/>
          <w:szCs w:val="24"/>
        </w:rPr>
        <w:t xml:space="preserve"> </w:t>
      </w:r>
      <w:r w:rsidR="00184255">
        <w:rPr>
          <w:rFonts w:ascii="Times New Roman" w:hAnsi="Times New Roman" w:cs="Times New Roman"/>
          <w:sz w:val="24"/>
          <w:szCs w:val="24"/>
        </w:rPr>
        <w:t xml:space="preserve">мер по </w:t>
      </w:r>
      <w:r w:rsidR="00184255" w:rsidRPr="005816E1">
        <w:rPr>
          <w:rFonts w:ascii="Times New Roman" w:hAnsi="Times New Roman" w:cs="Times New Roman"/>
          <w:sz w:val="24"/>
          <w:szCs w:val="24"/>
        </w:rPr>
        <w:t>защит</w:t>
      </w:r>
      <w:r w:rsidR="00184255">
        <w:rPr>
          <w:rFonts w:ascii="Times New Roman" w:hAnsi="Times New Roman" w:cs="Times New Roman"/>
          <w:sz w:val="24"/>
          <w:szCs w:val="24"/>
        </w:rPr>
        <w:t>е</w:t>
      </w:r>
      <w:r w:rsidR="00184255" w:rsidRPr="005816E1">
        <w:rPr>
          <w:rFonts w:ascii="Times New Roman" w:hAnsi="Times New Roman" w:cs="Times New Roman"/>
          <w:sz w:val="24"/>
          <w:szCs w:val="24"/>
        </w:rPr>
        <w:t xml:space="preserve"> внутреннего рынка</w:t>
      </w:r>
      <w:r w:rsidR="00184255">
        <w:rPr>
          <w:rFonts w:ascii="Times New Roman" w:hAnsi="Times New Roman" w:cs="Times New Roman"/>
          <w:sz w:val="24"/>
          <w:szCs w:val="24"/>
        </w:rPr>
        <w:t xml:space="preserve"> при помощи </w:t>
      </w:r>
      <w:r w:rsidR="00184255" w:rsidRPr="005816E1">
        <w:rPr>
          <w:rFonts w:ascii="Times New Roman" w:hAnsi="Times New Roman" w:cs="Times New Roman"/>
          <w:sz w:val="24"/>
          <w:szCs w:val="24"/>
        </w:rPr>
        <w:t>политик</w:t>
      </w:r>
      <w:r w:rsidR="00184255">
        <w:rPr>
          <w:rFonts w:ascii="Times New Roman" w:hAnsi="Times New Roman" w:cs="Times New Roman"/>
          <w:sz w:val="24"/>
          <w:szCs w:val="24"/>
        </w:rPr>
        <w:t>и</w:t>
      </w:r>
      <w:r w:rsidR="00184255" w:rsidRPr="005816E1">
        <w:rPr>
          <w:rFonts w:ascii="Times New Roman" w:hAnsi="Times New Roman" w:cs="Times New Roman"/>
          <w:sz w:val="24"/>
          <w:szCs w:val="24"/>
        </w:rPr>
        <w:t xml:space="preserve"> протекционизма с применением антидемпинговых пошлин</w:t>
      </w:r>
      <w:r w:rsidR="008B04C2" w:rsidRPr="005816E1">
        <w:rPr>
          <w:rFonts w:ascii="Times New Roman" w:hAnsi="Times New Roman" w:cs="Times New Roman"/>
          <w:sz w:val="24"/>
          <w:szCs w:val="24"/>
        </w:rPr>
        <w:t>,</w:t>
      </w:r>
      <w:r w:rsidR="00C4590F" w:rsidRPr="005816E1">
        <w:rPr>
          <w:rFonts w:ascii="Times New Roman" w:hAnsi="Times New Roman" w:cs="Times New Roman"/>
          <w:sz w:val="24"/>
          <w:szCs w:val="24"/>
        </w:rPr>
        <w:t xml:space="preserve"> </w:t>
      </w:r>
      <w:r w:rsidR="0018425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700B7" w:rsidRPr="005816E1">
        <w:rPr>
          <w:rFonts w:ascii="Times New Roman" w:hAnsi="Times New Roman" w:cs="Times New Roman"/>
          <w:sz w:val="24"/>
          <w:szCs w:val="24"/>
        </w:rPr>
        <w:t>ряда</w:t>
      </w:r>
      <w:r w:rsidR="00AB26E2" w:rsidRPr="005816E1">
        <w:rPr>
          <w:rFonts w:ascii="Times New Roman" w:hAnsi="Times New Roman" w:cs="Times New Roman"/>
          <w:sz w:val="24"/>
          <w:szCs w:val="24"/>
        </w:rPr>
        <w:t xml:space="preserve"> </w:t>
      </w:r>
      <w:r w:rsidR="00966CAD" w:rsidRPr="005816E1">
        <w:rPr>
          <w:rFonts w:ascii="Times New Roman" w:hAnsi="Times New Roman" w:cs="Times New Roman"/>
          <w:sz w:val="24"/>
          <w:szCs w:val="24"/>
        </w:rPr>
        <w:t>внутренни</w:t>
      </w:r>
      <w:r w:rsidR="00AB26E2" w:rsidRPr="005816E1">
        <w:rPr>
          <w:rFonts w:ascii="Times New Roman" w:hAnsi="Times New Roman" w:cs="Times New Roman"/>
          <w:sz w:val="24"/>
          <w:szCs w:val="24"/>
        </w:rPr>
        <w:t>х</w:t>
      </w:r>
      <w:r w:rsidR="00966CAD" w:rsidRPr="005816E1">
        <w:rPr>
          <w:rFonts w:ascii="Times New Roman" w:hAnsi="Times New Roman" w:cs="Times New Roman"/>
          <w:sz w:val="24"/>
          <w:szCs w:val="24"/>
        </w:rPr>
        <w:t xml:space="preserve"> </w:t>
      </w:r>
      <w:r w:rsidR="002D296E" w:rsidRPr="005816E1">
        <w:rPr>
          <w:rFonts w:ascii="Times New Roman" w:hAnsi="Times New Roman" w:cs="Times New Roman"/>
          <w:sz w:val="24"/>
          <w:szCs w:val="24"/>
        </w:rPr>
        <w:t>сложностей</w:t>
      </w:r>
      <w:r w:rsidR="00A700B7" w:rsidRPr="005816E1">
        <w:rPr>
          <w:rFonts w:ascii="Times New Roman" w:hAnsi="Times New Roman" w:cs="Times New Roman"/>
          <w:sz w:val="24"/>
          <w:szCs w:val="24"/>
        </w:rPr>
        <w:t>, что предопределило</w:t>
      </w:r>
      <w:r w:rsidR="008B04C2"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неустойчив</w:t>
      </w:r>
      <w:r w:rsidR="00966CAD" w:rsidRPr="005816E1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8B04C2" w:rsidRPr="005816E1">
        <w:rPr>
          <w:rFonts w:ascii="Times New Roman" w:eastAsia="Times New Roman" w:hAnsi="Times New Roman" w:cs="Times New Roman"/>
          <w:sz w:val="24"/>
          <w:szCs w:val="24"/>
        </w:rPr>
        <w:t xml:space="preserve"> макроэкономическ</w:t>
      </w:r>
      <w:r w:rsidR="00966CAD" w:rsidRPr="005816E1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8B04C2" w:rsidRPr="005816E1">
        <w:rPr>
          <w:rFonts w:ascii="Times New Roman" w:eastAsia="Times New Roman" w:hAnsi="Times New Roman" w:cs="Times New Roman"/>
          <w:sz w:val="24"/>
          <w:szCs w:val="24"/>
        </w:rPr>
        <w:t xml:space="preserve"> ситуаци</w:t>
      </w:r>
      <w:r w:rsidR="00966CAD" w:rsidRPr="005816E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767EF" w:rsidRPr="005816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04C2" w:rsidRPr="005816E1" w:rsidRDefault="008B04C2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6295D" w:rsidRPr="005816E1" w:rsidRDefault="00E6295D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16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Промышленность</w:t>
      </w:r>
    </w:p>
    <w:p w:rsidR="003D7D52" w:rsidRPr="005816E1" w:rsidRDefault="003D7D52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5964" w:rsidRPr="005816E1" w:rsidRDefault="00E6295D" w:rsidP="00282A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Ситуация в индустриальном секторе республики в рассматриваемом периоде складывалась </w:t>
      </w:r>
      <w:r w:rsidR="00BA7046" w:rsidRPr="005816E1">
        <w:rPr>
          <w:rFonts w:ascii="Times New Roman" w:eastAsia="Times New Roman" w:hAnsi="Times New Roman" w:cs="Times New Roman"/>
          <w:sz w:val="24"/>
          <w:szCs w:val="24"/>
        </w:rPr>
        <w:t>в условиях</w:t>
      </w:r>
      <w:r w:rsidR="00CF5245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F5245" w:rsidRPr="005816E1">
        <w:rPr>
          <w:rFonts w:ascii="Times New Roman" w:hAnsi="Times New Roman" w:cs="Times New Roman"/>
          <w:sz w:val="24"/>
          <w:szCs w:val="24"/>
        </w:rPr>
        <w:t xml:space="preserve">онижательной </w:t>
      </w:r>
      <w:r w:rsidR="006F624C">
        <w:rPr>
          <w:rFonts w:ascii="Times New Roman" w:hAnsi="Times New Roman" w:cs="Times New Roman"/>
          <w:sz w:val="24"/>
          <w:szCs w:val="24"/>
        </w:rPr>
        <w:t xml:space="preserve">динамики </w:t>
      </w:r>
      <w:r w:rsidR="00CF5245" w:rsidRPr="005816E1">
        <w:rPr>
          <w:rFonts w:ascii="Times New Roman" w:hAnsi="Times New Roman" w:cs="Times New Roman"/>
          <w:sz w:val="24"/>
          <w:szCs w:val="24"/>
        </w:rPr>
        <w:t>объёмов производства в ключевых сегментах электроэнергетики и чёрной металлургии,</w:t>
      </w:r>
      <w:r w:rsidR="00BA7046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38C" w:rsidRPr="005816E1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="00D16922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EF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параметров внешнеэкономической деятельности, </w:t>
      </w:r>
      <w:r w:rsidR="00CF5245" w:rsidRPr="005816E1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="00CF5245" w:rsidRPr="005816E1">
        <w:rPr>
          <w:rFonts w:ascii="Times New Roman" w:hAnsi="Times New Roman" w:cs="Times New Roman"/>
          <w:sz w:val="24"/>
          <w:szCs w:val="24"/>
        </w:rPr>
        <w:t>волатильности</w:t>
      </w:r>
      <w:proofErr w:type="spellEnd"/>
      <w:r w:rsidR="00CF5245" w:rsidRPr="005816E1">
        <w:rPr>
          <w:rFonts w:ascii="Times New Roman" w:hAnsi="Times New Roman" w:cs="Times New Roman"/>
          <w:sz w:val="24"/>
          <w:szCs w:val="24"/>
        </w:rPr>
        <w:t xml:space="preserve"> сырьевых и отпускных цен, </w:t>
      </w:r>
      <w:r w:rsidR="004767EF" w:rsidRPr="005816E1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D16922" w:rsidRPr="005816E1">
        <w:rPr>
          <w:rFonts w:ascii="Times New Roman" w:eastAsia="Times New Roman" w:hAnsi="Times New Roman" w:cs="Times New Roman"/>
          <w:sz w:val="24"/>
          <w:szCs w:val="24"/>
        </w:rPr>
        <w:t xml:space="preserve"> сужения спроса на внутреннем потребительском рынке, в совокупности с </w:t>
      </w:r>
      <w:r w:rsidR="00BA7046" w:rsidRPr="005816E1">
        <w:rPr>
          <w:rFonts w:ascii="Times New Roman" w:eastAsia="Times New Roman" w:hAnsi="Times New Roman" w:cs="Times New Roman"/>
          <w:sz w:val="24"/>
          <w:szCs w:val="24"/>
        </w:rPr>
        <w:t>продолжающ</w:t>
      </w:r>
      <w:r w:rsidR="00D16922" w:rsidRPr="005816E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BA7046" w:rsidRPr="005816E1">
        <w:rPr>
          <w:rFonts w:ascii="Times New Roman" w:eastAsia="Times New Roman" w:hAnsi="Times New Roman" w:cs="Times New Roman"/>
          <w:sz w:val="24"/>
          <w:szCs w:val="24"/>
        </w:rPr>
        <w:t>ся во</w:t>
      </w:r>
      <w:r w:rsidR="00CA07DD" w:rsidRPr="005816E1">
        <w:rPr>
          <w:rFonts w:ascii="Times New Roman" w:eastAsia="Times New Roman" w:hAnsi="Times New Roman" w:cs="Times New Roman"/>
          <w:sz w:val="24"/>
          <w:szCs w:val="24"/>
        </w:rPr>
        <w:t>здействи</w:t>
      </w:r>
      <w:r w:rsidR="00D16922" w:rsidRPr="005816E1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D3D" w:rsidRPr="005816E1">
        <w:rPr>
          <w:rFonts w:ascii="Times New Roman" w:eastAsia="Times New Roman" w:hAnsi="Times New Roman" w:cs="Times New Roman"/>
          <w:sz w:val="24"/>
          <w:szCs w:val="24"/>
        </w:rPr>
        <w:t xml:space="preserve">внешнеполитических и экономических </w:t>
      </w:r>
      <w:r w:rsidRPr="00581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барьеров в отношении </w:t>
      </w:r>
      <w:r w:rsidR="000B437C" w:rsidRPr="00581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хозяйствующих субъектов </w:t>
      </w:r>
      <w:r w:rsidRPr="00581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</w:t>
      </w:r>
      <w:r w:rsidR="00A30D3D" w:rsidRPr="00581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 стороны соседних</w:t>
      </w:r>
      <w:proofErr w:type="gramEnd"/>
      <w:r w:rsidR="00A30D3D" w:rsidRPr="00581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государств</w:t>
      </w:r>
      <w:r w:rsidR="00D15964" w:rsidRPr="005816E1">
        <w:rPr>
          <w:rFonts w:ascii="Times New Roman" w:hAnsi="Times New Roman" w:cs="Times New Roman"/>
          <w:sz w:val="24"/>
          <w:szCs w:val="24"/>
        </w:rPr>
        <w:t>.</w:t>
      </w:r>
    </w:p>
    <w:p w:rsidR="00E6295D" w:rsidRPr="005816E1" w:rsidRDefault="00C67421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>Объем п</w:t>
      </w:r>
      <w:r w:rsidRPr="005816E1">
        <w:rPr>
          <w:rFonts w:ascii="Times New Roman" w:eastAsia="Times New Roman" w:hAnsi="Times New Roman" w:cs="Times New Roman"/>
          <w:snapToGrid w:val="0"/>
          <w:sz w:val="24"/>
          <w:szCs w:val="24"/>
        </w:rPr>
        <w:t>ромышленного производства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(без учета субъектов малого предпринимательства) в </w:t>
      </w:r>
      <w:r w:rsidRPr="005816E1">
        <w:rPr>
          <w:rFonts w:ascii="Times New Roman" w:eastAsia="Times New Roman" w:hAnsi="Times New Roman" w:cs="Times New Roman"/>
          <w:snapToGrid w:val="0"/>
          <w:sz w:val="24"/>
          <w:szCs w:val="24"/>
        </w:rPr>
        <w:t>2016 год</w:t>
      </w:r>
      <w:r w:rsidR="006F4A01" w:rsidRPr="005816E1">
        <w:rPr>
          <w:rFonts w:ascii="Times New Roman" w:eastAsia="Times New Roman" w:hAnsi="Times New Roman" w:cs="Times New Roman"/>
          <w:snapToGrid w:val="0"/>
          <w:sz w:val="24"/>
          <w:szCs w:val="24"/>
        </w:rPr>
        <w:t>у</w:t>
      </w:r>
      <w:r w:rsidRPr="005816E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978EB" w:rsidRPr="005816E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текущих ценах </w:t>
      </w:r>
      <w:r w:rsidR="00D209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предварительным данным </w:t>
      </w:r>
      <w:proofErr w:type="gramStart"/>
      <w:r w:rsidR="00E978EB" w:rsidRPr="005816E1">
        <w:rPr>
          <w:rFonts w:ascii="Times New Roman" w:eastAsia="Times New Roman" w:hAnsi="Times New Roman" w:cs="Times New Roman"/>
          <w:sz w:val="24"/>
          <w:szCs w:val="24"/>
        </w:rPr>
        <w:t>сократился на 10,</w:t>
      </w:r>
      <w:r w:rsidR="006F4A01" w:rsidRPr="00581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78EB" w:rsidRPr="005816E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состави</w:t>
      </w:r>
      <w:r w:rsidR="00E978EB" w:rsidRPr="005816E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3315E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8FE" w:rsidRPr="005816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F4A01" w:rsidRPr="005816E1">
        <w:rPr>
          <w:rFonts w:ascii="Times New Roman" w:eastAsia="Times New Roman" w:hAnsi="Times New Roman" w:cs="Times New Roman"/>
          <w:sz w:val="24"/>
          <w:szCs w:val="24"/>
        </w:rPr>
        <w:t> 695,7</w:t>
      </w:r>
      <w:r w:rsidR="0033315E" w:rsidRPr="005816E1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BF28FE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315E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 сопоставимых ценах </w:t>
      </w:r>
      <w:r w:rsidR="00F95279" w:rsidRPr="005816E1">
        <w:rPr>
          <w:rFonts w:ascii="Times New Roman" w:eastAsia="Times New Roman" w:hAnsi="Times New Roman" w:cs="Times New Roman"/>
          <w:sz w:val="24"/>
          <w:szCs w:val="24"/>
        </w:rPr>
        <w:t>данный показатель</w:t>
      </w:r>
      <w:r w:rsidR="0033315E" w:rsidRPr="005816E1">
        <w:rPr>
          <w:rFonts w:ascii="Times New Roman" w:eastAsia="Times New Roman" w:hAnsi="Times New Roman" w:cs="Times New Roman"/>
          <w:sz w:val="24"/>
          <w:szCs w:val="24"/>
        </w:rPr>
        <w:t xml:space="preserve"> сложился на </w:t>
      </w:r>
      <w:r w:rsidR="00302FAD" w:rsidRPr="005816E1">
        <w:rPr>
          <w:rFonts w:ascii="Times New Roman" w:eastAsia="Times New Roman" w:hAnsi="Times New Roman" w:cs="Times New Roman"/>
          <w:sz w:val="24"/>
          <w:szCs w:val="24"/>
        </w:rPr>
        <w:t>5,8</w:t>
      </w:r>
      <w:r w:rsidR="0033315E" w:rsidRPr="005816E1">
        <w:rPr>
          <w:rFonts w:ascii="Times New Roman" w:eastAsia="Times New Roman" w:hAnsi="Times New Roman" w:cs="Times New Roman"/>
          <w:sz w:val="24"/>
          <w:szCs w:val="24"/>
        </w:rPr>
        <w:t xml:space="preserve">% ниже базового уровня минувшего года, </w:t>
      </w:r>
      <w:r w:rsidR="00E657AE" w:rsidRPr="005816E1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7AE" w:rsidRPr="005816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долларовом эквиваленте объем </w:t>
      </w:r>
      <w:r w:rsidR="00F95279" w:rsidRPr="005816E1">
        <w:rPr>
          <w:rFonts w:ascii="Times New Roman" w:eastAsia="Times New Roman" w:hAnsi="Times New Roman" w:cs="Times New Roman"/>
          <w:sz w:val="24"/>
          <w:szCs w:val="24"/>
        </w:rPr>
        <w:t>произведенной продукции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 w:rsidR="00E978EB" w:rsidRPr="005816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2FAD" w:rsidRPr="005816E1">
        <w:rPr>
          <w:rFonts w:ascii="Times New Roman" w:eastAsia="Times New Roman" w:hAnsi="Times New Roman" w:cs="Times New Roman"/>
          <w:sz w:val="24"/>
          <w:szCs w:val="24"/>
        </w:rPr>
        <w:t>83,5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млн. долл. или </w:t>
      </w:r>
      <w:r w:rsidR="00D16922" w:rsidRPr="005816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E978EB" w:rsidRPr="005816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16922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2FAD" w:rsidRPr="00581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% к уровню </w:t>
      </w:r>
      <w:r w:rsidR="00F95279" w:rsidRPr="005816E1">
        <w:rPr>
          <w:rFonts w:ascii="Times New Roman" w:eastAsia="Times New Roman" w:hAnsi="Times New Roman" w:cs="Times New Roman"/>
          <w:sz w:val="24"/>
          <w:szCs w:val="24"/>
        </w:rPr>
        <w:t xml:space="preserve">аналогичного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показателя 2015 года. Доход от реализации </w:t>
      </w:r>
      <w:r w:rsidR="00A76A04" w:rsidRPr="005816E1">
        <w:rPr>
          <w:rFonts w:ascii="Times New Roman" w:eastAsia="Times New Roman" w:hAnsi="Times New Roman" w:cs="Times New Roman"/>
          <w:sz w:val="24"/>
          <w:szCs w:val="24"/>
        </w:rPr>
        <w:t xml:space="preserve">промышленной продукции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рассматриваемом периоде </w:t>
      </w:r>
      <w:r w:rsidR="00D209A6">
        <w:rPr>
          <w:rFonts w:ascii="Times New Roman" w:eastAsia="Times New Roman" w:hAnsi="Times New Roman" w:cs="Times New Roman"/>
          <w:sz w:val="24"/>
          <w:szCs w:val="24"/>
        </w:rPr>
        <w:t xml:space="preserve">по предварительным данным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сложился ниже </w:t>
      </w:r>
      <w:r w:rsidR="00F95279" w:rsidRPr="005816E1">
        <w:rPr>
          <w:rFonts w:ascii="Times New Roman" w:eastAsia="Times New Roman" w:hAnsi="Times New Roman" w:cs="Times New Roman"/>
          <w:sz w:val="24"/>
          <w:szCs w:val="24"/>
        </w:rPr>
        <w:t xml:space="preserve">сопоставимого значения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2015 года на </w:t>
      </w:r>
      <w:r w:rsidR="001D4CEE" w:rsidRPr="005816E1">
        <w:rPr>
          <w:rFonts w:ascii="Times New Roman" w:eastAsia="Times New Roman" w:hAnsi="Times New Roman" w:cs="Times New Roman"/>
          <w:sz w:val="24"/>
          <w:szCs w:val="24"/>
        </w:rPr>
        <w:t>12,</w:t>
      </w:r>
      <w:r w:rsidR="003501DF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%, составив </w:t>
      </w:r>
      <w:r w:rsidR="00155790" w:rsidRPr="005816E1">
        <w:rPr>
          <w:rFonts w:ascii="Times New Roman" w:eastAsia="Times New Roman" w:hAnsi="Times New Roman" w:cs="Times New Roman"/>
          <w:sz w:val="24"/>
          <w:szCs w:val="24"/>
        </w:rPr>
        <w:t>7 7</w:t>
      </w:r>
      <w:r w:rsidR="003501DF" w:rsidRPr="005816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155790" w:rsidRPr="005816E1">
        <w:rPr>
          <w:rFonts w:ascii="Times New Roman" w:eastAsia="Times New Roman" w:hAnsi="Times New Roman" w:cs="Times New Roman"/>
          <w:sz w:val="24"/>
          <w:szCs w:val="24"/>
        </w:rPr>
        <w:t>9,</w:t>
      </w:r>
      <w:r w:rsidR="003501DF" w:rsidRPr="005816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млн. руб. или </w:t>
      </w:r>
      <w:r w:rsidR="00155790" w:rsidRPr="005816E1">
        <w:rPr>
          <w:rFonts w:ascii="Times New Roman" w:eastAsia="Times New Roman" w:hAnsi="Times New Roman" w:cs="Times New Roman"/>
          <w:sz w:val="24"/>
          <w:szCs w:val="24"/>
        </w:rPr>
        <w:t>69</w:t>
      </w:r>
      <w:r w:rsidR="003501DF" w:rsidRPr="005816E1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5790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1DF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46D9" w:rsidRPr="005816E1">
        <w:rPr>
          <w:rFonts w:ascii="Times New Roman" w:eastAsia="Times New Roman" w:hAnsi="Times New Roman" w:cs="Times New Roman"/>
          <w:sz w:val="24"/>
          <w:szCs w:val="24"/>
        </w:rPr>
        <w:t xml:space="preserve"> млн. долл.</w:t>
      </w:r>
    </w:p>
    <w:p w:rsidR="00E6295D" w:rsidRPr="005816E1" w:rsidRDefault="001020FF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354965</wp:posOffset>
            </wp:positionV>
            <wp:extent cx="2390775" cy="2124075"/>
            <wp:effectExtent l="19050" t="0" r="0" b="0"/>
            <wp:wrapTight wrapText="bothSides">
              <wp:wrapPolygon edited="0">
                <wp:start x="-172" y="0"/>
                <wp:lineTo x="-172" y="21309"/>
                <wp:lineTo x="21514" y="21309"/>
                <wp:lineTo x="21514" y="0"/>
                <wp:lineTo x="-172" y="0"/>
              </wp:wrapPolygon>
            </wp:wrapTight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354965</wp:posOffset>
            </wp:positionV>
            <wp:extent cx="3448050" cy="2028825"/>
            <wp:effectExtent l="19050" t="0" r="0" b="0"/>
            <wp:wrapTight wrapText="bothSides">
              <wp:wrapPolygon edited="0">
                <wp:start x="-119" y="0"/>
                <wp:lineTo x="-119" y="21296"/>
                <wp:lineTo x="21600" y="21296"/>
                <wp:lineTo x="21600" y="0"/>
                <wp:lineTo x="-119" y="0"/>
              </wp:wrapPolygon>
            </wp:wrapTight>
            <wp:docPr id="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Отраслевая структура промышленного производства в 2016 год</w:t>
      </w:r>
      <w:r w:rsidR="003501DF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предварительным данным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выглядела следующим образом:</w:t>
      </w:r>
    </w:p>
    <w:p w:rsidR="00E6295D" w:rsidRPr="005816E1" w:rsidRDefault="00081D04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В рассматриваемом периоде</w:t>
      </w:r>
      <w:r w:rsidR="0075038C" w:rsidRPr="005816E1">
        <w:rPr>
          <w:rFonts w:ascii="Times New Roman" w:eastAsia="Times New Roman" w:hAnsi="Times New Roman" w:cs="Times New Roman"/>
          <w:sz w:val="24"/>
          <w:szCs w:val="24"/>
        </w:rPr>
        <w:t xml:space="preserve"> увеличение спроса н</w:t>
      </w:r>
      <w:r w:rsidR="00463945" w:rsidRPr="005816E1">
        <w:rPr>
          <w:rFonts w:ascii="Times New Roman" w:eastAsia="Times New Roman" w:hAnsi="Times New Roman" w:cs="Times New Roman"/>
          <w:sz w:val="24"/>
          <w:szCs w:val="24"/>
        </w:rPr>
        <w:t xml:space="preserve">а продукцию электроэнергетики в </w:t>
      </w:r>
      <w:r w:rsidR="0075038C" w:rsidRPr="005816E1">
        <w:rPr>
          <w:rFonts w:ascii="Times New Roman" w:eastAsia="Times New Roman" w:hAnsi="Times New Roman" w:cs="Times New Roman"/>
          <w:sz w:val="24"/>
          <w:szCs w:val="24"/>
        </w:rPr>
        <w:t>IV квартал</w:t>
      </w:r>
      <w:r w:rsidR="00463945" w:rsidRPr="005816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5038C" w:rsidRPr="005816E1">
        <w:rPr>
          <w:rFonts w:ascii="Times New Roman" w:eastAsia="Times New Roman" w:hAnsi="Times New Roman" w:cs="Times New Roman"/>
          <w:sz w:val="24"/>
          <w:szCs w:val="24"/>
        </w:rPr>
        <w:t xml:space="preserve"> 2016 года обусловило рост </w:t>
      </w:r>
      <w:r w:rsidR="0089178D" w:rsidRPr="005816E1">
        <w:rPr>
          <w:rFonts w:ascii="Times New Roman" w:eastAsia="Times New Roman" w:hAnsi="Times New Roman" w:cs="Times New Roman"/>
          <w:sz w:val="24"/>
          <w:szCs w:val="24"/>
        </w:rPr>
        <w:t xml:space="preserve">доли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предприяти</w:t>
      </w:r>
      <w:r w:rsidR="0089178D" w:rsidRPr="005816E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отрасли </w:t>
      </w:r>
      <w:r w:rsidR="0089178D"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совокупном товарном выпуске промышленных предприятий на </w:t>
      </w:r>
      <w:r w:rsidR="00C54703" w:rsidRPr="005816E1">
        <w:rPr>
          <w:rFonts w:ascii="Times New Roman" w:eastAsia="Times New Roman" w:hAnsi="Times New Roman" w:cs="Times New Roman"/>
          <w:sz w:val="24"/>
          <w:szCs w:val="24"/>
        </w:rPr>
        <w:t>1,4</w:t>
      </w:r>
      <w:r w:rsidR="0089178D" w:rsidRPr="005816E1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57637B" w:rsidRPr="005816E1">
        <w:rPr>
          <w:rFonts w:ascii="Times New Roman" w:eastAsia="Times New Roman" w:hAnsi="Times New Roman" w:cs="Times New Roman"/>
          <w:sz w:val="24"/>
          <w:szCs w:val="24"/>
        </w:rPr>
        <w:t>обеспечив</w:t>
      </w:r>
      <w:r w:rsidR="0089178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предприятиям </w:t>
      </w:r>
      <w:r w:rsidR="0057637B" w:rsidRPr="005816E1">
        <w:rPr>
          <w:rFonts w:ascii="Times New Roman" w:eastAsia="Times New Roman" w:hAnsi="Times New Roman" w:cs="Times New Roman"/>
          <w:sz w:val="24"/>
          <w:szCs w:val="24"/>
        </w:rPr>
        <w:t>электроэнергетического комплекса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лидирующую позицию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структуре выпуска – </w:t>
      </w:r>
      <w:r w:rsidR="00983EF3" w:rsidRPr="00581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4703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EF3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4703" w:rsidRPr="00581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5782"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F97BBC" w:rsidRPr="005816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металлургию в результате </w:t>
      </w:r>
      <w:r w:rsidR="00F97BBC" w:rsidRPr="005816E1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объем</w:t>
      </w:r>
      <w:r w:rsidR="00F97BBC" w:rsidRPr="005816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товарного выпуска в 2016 года по отношению к 2015 год</w:t>
      </w:r>
      <w:r w:rsidR="00C54703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, в рассматриваемом периоде приходилось </w:t>
      </w:r>
      <w:r w:rsidR="00983EF3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0A2E" w:rsidRPr="005816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3EF3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4703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% выпуска в промышленности</w:t>
      </w:r>
      <w:proofErr w:type="gramEnd"/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3EF3" w:rsidRPr="00581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4703" w:rsidRPr="00581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% в 2015 год</w:t>
      </w:r>
      <w:r w:rsidR="00C54703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>Увеличение объема промышленного производства п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редприятия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легкой промышленности</w:t>
      </w:r>
      <w:r w:rsidR="000E280E"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E2FBC" w:rsidRPr="005816E1">
        <w:rPr>
          <w:rFonts w:ascii="Times New Roman" w:eastAsia="Times New Roman" w:hAnsi="Times New Roman" w:cs="Times New Roman"/>
          <w:sz w:val="24"/>
          <w:szCs w:val="24"/>
        </w:rPr>
        <w:t>10,4</w:t>
      </w:r>
      <w:r w:rsidR="0095035B"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CA093E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обеспечило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 xml:space="preserve"> расширение </w:t>
      </w:r>
      <w:r w:rsidR="008E2FBC" w:rsidRPr="005816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их 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 xml:space="preserve">долевого участия в совокупном объеме производства до </w:t>
      </w:r>
      <w:r w:rsidR="008E2FBC" w:rsidRPr="005816E1">
        <w:rPr>
          <w:rFonts w:ascii="Times New Roman" w:eastAsia="Times New Roman" w:hAnsi="Times New Roman" w:cs="Times New Roman"/>
          <w:sz w:val="24"/>
          <w:szCs w:val="24"/>
        </w:rPr>
        <w:t>14,1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>% («+»</w:t>
      </w:r>
      <w:r w:rsidR="008E2FBC" w:rsidRPr="005816E1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пункта). Предприятия пищевой промышленности при увеличении товарного выпуска на </w:t>
      </w:r>
      <w:r w:rsidR="00BC0A2E" w:rsidRPr="00581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F0F55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2FBC" w:rsidRPr="00581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035B"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2377E0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сформировали </w:t>
      </w:r>
      <w:r w:rsidR="00F41D1B" w:rsidRPr="005816E1">
        <w:rPr>
          <w:rFonts w:ascii="Times New Roman" w:eastAsia="Times New Roman" w:hAnsi="Times New Roman" w:cs="Times New Roman"/>
          <w:sz w:val="24"/>
          <w:szCs w:val="24"/>
        </w:rPr>
        <w:t>12,</w:t>
      </w:r>
      <w:r w:rsidR="008E2FBC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5035B" w:rsidRPr="005816E1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151AEC" w:rsidRPr="005816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035B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в целом по </w:t>
      </w:r>
      <w:r w:rsidR="00151AEC" w:rsidRPr="005816E1">
        <w:rPr>
          <w:rFonts w:ascii="Times New Roman" w:eastAsia="Times New Roman" w:hAnsi="Times New Roman" w:cs="Times New Roman"/>
          <w:sz w:val="24"/>
          <w:szCs w:val="24"/>
        </w:rPr>
        <w:t>индустрии,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CF27EC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0F55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7EC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2FBC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% в 2015 год</w:t>
      </w:r>
      <w:r w:rsidR="008E2FBC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9DC" w:rsidRDefault="0095035B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>Помесячная динамика промышленного производства, на фоне неустойчивой рыночной конъюнктуры</w:t>
      </w:r>
      <w:r w:rsidR="004769DC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348"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рассматриваемом периоде демонстрирует </w:t>
      </w:r>
      <w:proofErr w:type="spellStart"/>
      <w:r w:rsidR="00B83348" w:rsidRPr="005816E1">
        <w:rPr>
          <w:rFonts w:ascii="Times New Roman" w:eastAsia="Times New Roman" w:hAnsi="Times New Roman" w:cs="Times New Roman"/>
          <w:sz w:val="24"/>
          <w:szCs w:val="24"/>
        </w:rPr>
        <w:t>разновекторную</w:t>
      </w:r>
      <w:proofErr w:type="spellEnd"/>
      <w:r w:rsidR="00B83348" w:rsidRPr="005816E1">
        <w:rPr>
          <w:rFonts w:ascii="Times New Roman" w:eastAsia="Times New Roman" w:hAnsi="Times New Roman" w:cs="Times New Roman"/>
          <w:sz w:val="24"/>
          <w:szCs w:val="24"/>
        </w:rPr>
        <w:t xml:space="preserve"> динамику. </w:t>
      </w:r>
      <w:proofErr w:type="gramStart"/>
      <w:r w:rsidR="00B83348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фоне отрицательной динамики относительно аналогичного периода </w:t>
      </w:r>
      <w:r w:rsidR="007E4805" w:rsidRPr="005816E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83348" w:rsidRPr="005816E1">
        <w:rPr>
          <w:rFonts w:ascii="Times New Roman" w:eastAsia="Times New Roman" w:hAnsi="Times New Roman" w:cs="Times New Roman"/>
          <w:sz w:val="24"/>
          <w:szCs w:val="24"/>
        </w:rPr>
        <w:t xml:space="preserve">2015 года </w:t>
      </w:r>
      <w:r w:rsidR="004769DC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начиная с апреля месяца </w:t>
      </w:r>
      <w:r w:rsidR="00B83348" w:rsidRPr="005816E1">
        <w:rPr>
          <w:rFonts w:ascii="Times New Roman" w:eastAsia="Times New Roman" w:hAnsi="Times New Roman" w:cs="Times New Roman"/>
          <w:sz w:val="24"/>
          <w:szCs w:val="24"/>
        </w:rPr>
        <w:t>– снижение составил</w:t>
      </w:r>
      <w:r w:rsidR="00F87A29" w:rsidRPr="005816E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69DC" w:rsidRPr="005816E1">
        <w:rPr>
          <w:rFonts w:ascii="Times New Roman" w:eastAsia="Times New Roman" w:hAnsi="Times New Roman" w:cs="Times New Roman"/>
          <w:sz w:val="24"/>
          <w:szCs w:val="24"/>
        </w:rPr>
        <w:t xml:space="preserve"> 0,1%, в мае – 6,0%, июне – </w:t>
      </w:r>
      <w:r w:rsidR="00F87A29" w:rsidRPr="005816E1">
        <w:rPr>
          <w:rFonts w:ascii="Times New Roman" w:eastAsia="Times New Roman" w:hAnsi="Times New Roman" w:cs="Times New Roman"/>
          <w:sz w:val="24"/>
          <w:szCs w:val="24"/>
        </w:rPr>
        <w:t>18,4%,</w:t>
      </w:r>
      <w:r w:rsidR="004769DC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 июле - 29,4%</w:t>
      </w:r>
      <w:r w:rsidR="00B83348" w:rsidRPr="005816E1">
        <w:rPr>
          <w:rFonts w:ascii="Times New Roman" w:eastAsia="Times New Roman" w:hAnsi="Times New Roman" w:cs="Times New Roman"/>
          <w:sz w:val="24"/>
          <w:szCs w:val="24"/>
        </w:rPr>
        <w:t>, в августе отмечается рост на 3,6%</w:t>
      </w:r>
      <w:r w:rsidR="00BC7CB9" w:rsidRPr="00581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60B9" w:rsidRPr="005816E1">
        <w:rPr>
          <w:rFonts w:ascii="Times New Roman" w:eastAsia="Times New Roman" w:hAnsi="Times New Roman" w:cs="Times New Roman"/>
          <w:sz w:val="24"/>
          <w:szCs w:val="24"/>
        </w:rPr>
        <w:t xml:space="preserve">который учитывая сложную экономическую ситуацию внутри государства, а также нестабильность внешних рынков, </w:t>
      </w:r>
      <w:r w:rsidR="00BC7CB9" w:rsidRPr="005816E1">
        <w:rPr>
          <w:rFonts w:ascii="Times New Roman" w:eastAsia="Times New Roman" w:hAnsi="Times New Roman" w:cs="Times New Roman"/>
          <w:sz w:val="24"/>
          <w:szCs w:val="24"/>
        </w:rPr>
        <w:t>смени</w:t>
      </w:r>
      <w:r w:rsidR="006B60B9" w:rsidRPr="005816E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C7CB9" w:rsidRPr="005816E1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="005A70DA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последующие месяцы спадом, в </w:t>
      </w:r>
      <w:r w:rsidR="00BC7CB9" w:rsidRPr="005816E1">
        <w:rPr>
          <w:rFonts w:ascii="Times New Roman" w:eastAsia="Times New Roman" w:hAnsi="Times New Roman" w:cs="Times New Roman"/>
          <w:sz w:val="24"/>
          <w:szCs w:val="24"/>
        </w:rPr>
        <w:t xml:space="preserve">сентябре </w:t>
      </w:r>
      <w:r w:rsidR="005A70DA" w:rsidRPr="005816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7CB9" w:rsidRPr="005816E1">
        <w:rPr>
          <w:rFonts w:ascii="Times New Roman" w:eastAsia="Times New Roman" w:hAnsi="Times New Roman" w:cs="Times New Roman"/>
          <w:sz w:val="24"/>
          <w:szCs w:val="24"/>
        </w:rPr>
        <w:t>на 12,5%</w:t>
      </w:r>
      <w:r w:rsidR="006B60B9" w:rsidRPr="005816E1">
        <w:rPr>
          <w:rFonts w:ascii="Times New Roman" w:eastAsia="Times New Roman" w:hAnsi="Times New Roman" w:cs="Times New Roman"/>
          <w:sz w:val="24"/>
          <w:szCs w:val="24"/>
        </w:rPr>
        <w:t>, в октябре – на 17,3%</w:t>
      </w:r>
      <w:r w:rsidR="008A2664" w:rsidRPr="005816E1">
        <w:rPr>
          <w:rFonts w:ascii="Times New Roman" w:eastAsia="Times New Roman" w:hAnsi="Times New Roman" w:cs="Times New Roman"/>
          <w:sz w:val="24"/>
          <w:szCs w:val="24"/>
        </w:rPr>
        <w:t xml:space="preserve">, в ноябре – </w:t>
      </w:r>
      <w:r w:rsidR="00C27D34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A2664" w:rsidRPr="005816E1">
        <w:rPr>
          <w:rFonts w:ascii="Times New Roman" w:eastAsia="Times New Roman" w:hAnsi="Times New Roman" w:cs="Times New Roman"/>
          <w:sz w:val="24"/>
          <w:szCs w:val="24"/>
        </w:rPr>
        <w:t>4,9%</w:t>
      </w:r>
      <w:r w:rsidR="00C27D34" w:rsidRPr="005816E1">
        <w:rPr>
          <w:rFonts w:ascii="Times New Roman" w:eastAsia="Times New Roman" w:hAnsi="Times New Roman" w:cs="Times New Roman"/>
          <w:sz w:val="24"/>
          <w:szCs w:val="24"/>
        </w:rPr>
        <w:t>, а</w:t>
      </w:r>
      <w:proofErr w:type="gramEnd"/>
      <w:r w:rsidR="00C27D34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 декабре – на 14,7%.</w:t>
      </w:r>
    </w:p>
    <w:p w:rsidR="001020FF" w:rsidRPr="005816E1" w:rsidRDefault="001020FF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95D" w:rsidRPr="005816E1" w:rsidRDefault="00E6295D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b/>
          <w:sz w:val="24"/>
          <w:szCs w:val="24"/>
        </w:rPr>
        <w:t>Динамика промышленного производства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(в сопоставимых ценах), </w:t>
      </w:r>
      <w:r w:rsidRPr="005816E1">
        <w:rPr>
          <w:rFonts w:ascii="Times New Roman" w:eastAsia="Times New Roman" w:hAnsi="Times New Roman" w:cs="Times New Roman"/>
          <w:b/>
          <w:sz w:val="24"/>
          <w:szCs w:val="24"/>
        </w:rPr>
        <w:t>млн. руб.</w:t>
      </w:r>
    </w:p>
    <w:p w:rsidR="00E6295D" w:rsidRPr="005816E1" w:rsidRDefault="00E6295D" w:rsidP="00282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6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81700" cy="2019300"/>
            <wp:effectExtent l="0" t="0" r="0" b="0"/>
            <wp:docPr id="10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2728" w:rsidRDefault="00EE2728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>При этом</w:t>
      </w: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если рассматривать показатели нарастающим </w:t>
      </w:r>
      <w:r w:rsidR="00C36066" w:rsidRPr="005816E1">
        <w:rPr>
          <w:rFonts w:ascii="Times New Roman" w:eastAsia="Times New Roman" w:hAnsi="Times New Roman" w:cs="Times New Roman"/>
          <w:sz w:val="24"/>
          <w:szCs w:val="24"/>
        </w:rPr>
        <w:t xml:space="preserve">итогом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028CE" w:rsidRPr="005816E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, то следует отметить </w:t>
      </w:r>
      <w:r w:rsidR="009B00EF" w:rsidRPr="005816E1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="005A70DA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664" w:rsidRPr="005816E1">
        <w:rPr>
          <w:rFonts w:ascii="Times New Roman" w:eastAsia="Times New Roman" w:hAnsi="Times New Roman" w:cs="Times New Roman"/>
          <w:sz w:val="24"/>
          <w:szCs w:val="24"/>
        </w:rPr>
        <w:t>понижательн</w:t>
      </w:r>
      <w:r w:rsidR="005A70DA" w:rsidRPr="005816E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динамик</w:t>
      </w:r>
      <w:r w:rsidR="002310E0" w:rsidRPr="005816E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C4664" w:rsidRPr="005816E1">
        <w:rPr>
          <w:rFonts w:ascii="Times New Roman" w:eastAsia="Times New Roman" w:hAnsi="Times New Roman" w:cs="Times New Roman"/>
          <w:sz w:val="24"/>
          <w:szCs w:val="24"/>
        </w:rPr>
        <w:t>показателя в I</w:t>
      </w:r>
      <w:r w:rsidR="005A70DA" w:rsidRPr="005816E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5C4664" w:rsidRPr="005816E1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97A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C4664" w:rsidRPr="005816E1">
        <w:rPr>
          <w:rFonts w:ascii="Times New Roman" w:eastAsia="Times New Roman" w:hAnsi="Times New Roman" w:cs="Times New Roman"/>
          <w:sz w:val="24"/>
          <w:szCs w:val="24"/>
        </w:rPr>
        <w:t xml:space="preserve"> 2016 года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2728" w:rsidRPr="005816E1" w:rsidRDefault="001020FF" w:rsidP="00282A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629025"/>
            <wp:effectExtent l="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20FF" w:rsidRDefault="00E6295D" w:rsidP="00102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разрезе </w:t>
      </w:r>
      <w:r w:rsidR="00975C18" w:rsidRPr="005816E1">
        <w:rPr>
          <w:rFonts w:ascii="Times New Roman" w:eastAsia="Times New Roman" w:hAnsi="Times New Roman" w:cs="Times New Roman"/>
          <w:sz w:val="24"/>
          <w:szCs w:val="24"/>
        </w:rPr>
        <w:t xml:space="preserve">отраслей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динамика промышленного производства в </w:t>
      </w:r>
      <w:r w:rsidR="002028CE" w:rsidRPr="005816E1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932F18" w:rsidRPr="005816E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F87A29" w:rsidRPr="005816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2016 года по отношению к базовому показателю 2015 года свидетельствует о </w:t>
      </w:r>
      <w:proofErr w:type="spellStart"/>
      <w:r w:rsidR="00975C18" w:rsidRPr="005816E1">
        <w:rPr>
          <w:rFonts w:ascii="Times New Roman" w:eastAsia="Times New Roman" w:hAnsi="Times New Roman" w:cs="Times New Roman"/>
          <w:sz w:val="24"/>
          <w:szCs w:val="24"/>
        </w:rPr>
        <w:t>разновекторной</w:t>
      </w:r>
      <w:proofErr w:type="spellEnd"/>
      <w:r w:rsidR="00975C18"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и выглядит следующим образом:</w:t>
      </w:r>
    </w:p>
    <w:p w:rsidR="001020FF" w:rsidRDefault="001020FF" w:rsidP="00102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95D" w:rsidRPr="005816E1" w:rsidRDefault="00E6295D" w:rsidP="001020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Динамика промышленной продукции в разрезе </w:t>
      </w:r>
      <w:proofErr w:type="spellStart"/>
      <w:r w:rsidRPr="005816E1">
        <w:rPr>
          <w:rFonts w:ascii="Times New Roman" w:eastAsia="Times New Roman" w:hAnsi="Times New Roman" w:cs="Times New Roman"/>
          <w:b/>
          <w:sz w:val="24"/>
          <w:szCs w:val="24"/>
        </w:rPr>
        <w:t>подотраслей</w:t>
      </w:r>
      <w:proofErr w:type="spellEnd"/>
      <w:r w:rsidR="001020F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предварительным данным</w:t>
      </w:r>
      <w:r w:rsidRPr="005816E1">
        <w:rPr>
          <w:rFonts w:ascii="Times New Roman" w:eastAsia="Times New Roman" w:hAnsi="Times New Roman" w:cs="Times New Roman"/>
          <w:b/>
          <w:sz w:val="24"/>
          <w:szCs w:val="24"/>
        </w:rPr>
        <w:t>, млн. руб.</w:t>
      </w:r>
    </w:p>
    <w:p w:rsidR="00E6295D" w:rsidRPr="005816E1" w:rsidRDefault="00E6295D" w:rsidP="00282A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16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51550" cy="2657475"/>
            <wp:effectExtent l="19050" t="0" r="25400" b="0"/>
            <wp:docPr id="1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6066" w:rsidRPr="005816E1" w:rsidRDefault="00C36066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>При этом</w:t>
      </w: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если рассматривать показатели нарастающим итогом за </w:t>
      </w:r>
      <w:r w:rsidR="000D3CC2" w:rsidRPr="005816E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, то следует отметить следующую динамику:</w:t>
      </w:r>
    </w:p>
    <w:p w:rsidR="0098743A" w:rsidRPr="005816E1" w:rsidRDefault="00C36066" w:rsidP="00282A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816E1">
        <w:rPr>
          <w:rFonts w:ascii="Times New Roman" w:eastAsia="Times New Roman" w:hAnsi="Times New Roman" w:cs="Times New Roman"/>
          <w:b/>
        </w:rPr>
        <w:t xml:space="preserve">Динамика промышленной продукции в разрезе </w:t>
      </w:r>
      <w:proofErr w:type="spellStart"/>
      <w:r w:rsidRPr="005816E1">
        <w:rPr>
          <w:rFonts w:ascii="Times New Roman" w:eastAsia="Times New Roman" w:hAnsi="Times New Roman" w:cs="Times New Roman"/>
          <w:b/>
        </w:rPr>
        <w:t>подотраслей</w:t>
      </w:r>
      <w:proofErr w:type="spellEnd"/>
      <w:r w:rsidR="00A36670" w:rsidRPr="005816E1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D622C4" w:rsidRPr="005816E1">
        <w:rPr>
          <w:rFonts w:ascii="Times New Roman" w:eastAsia="Times New Roman" w:hAnsi="Times New Roman" w:cs="Times New Roman"/>
          <w:b/>
        </w:rPr>
        <w:t>в</w:t>
      </w:r>
      <w:proofErr w:type="gramEnd"/>
      <w:r w:rsidR="00A36670" w:rsidRPr="005816E1">
        <w:rPr>
          <w:rFonts w:ascii="Times New Roman" w:eastAsia="Times New Roman" w:hAnsi="Times New Roman" w:cs="Times New Roman"/>
          <w:b/>
        </w:rPr>
        <w:t xml:space="preserve"> </w:t>
      </w:r>
    </w:p>
    <w:p w:rsidR="00C36066" w:rsidRPr="005816E1" w:rsidRDefault="00D622C4" w:rsidP="00282A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816E1">
        <w:rPr>
          <w:rFonts w:ascii="Times New Roman" w:eastAsia="Times New Roman" w:hAnsi="Times New Roman" w:cs="Times New Roman"/>
          <w:b/>
        </w:rPr>
        <w:t>2016 году</w:t>
      </w:r>
      <w:r w:rsidR="001020FF">
        <w:rPr>
          <w:rFonts w:ascii="Times New Roman" w:eastAsia="Times New Roman" w:hAnsi="Times New Roman" w:cs="Times New Roman"/>
          <w:b/>
        </w:rPr>
        <w:t xml:space="preserve"> </w:t>
      </w:r>
      <w:r w:rsidR="001020FF">
        <w:rPr>
          <w:rFonts w:ascii="Times New Roman" w:eastAsia="Times New Roman" w:hAnsi="Times New Roman" w:cs="Times New Roman"/>
          <w:b/>
          <w:sz w:val="24"/>
          <w:szCs w:val="24"/>
        </w:rPr>
        <w:t>по предварительным данным</w:t>
      </w:r>
      <w:r w:rsidR="00C36066" w:rsidRPr="005816E1">
        <w:rPr>
          <w:rFonts w:ascii="Times New Roman" w:eastAsia="Times New Roman" w:hAnsi="Times New Roman" w:cs="Times New Roman"/>
          <w:b/>
        </w:rPr>
        <w:t>, млн. руб.</w:t>
      </w:r>
    </w:p>
    <w:p w:rsidR="00C36066" w:rsidRPr="005816E1" w:rsidRDefault="00C36066" w:rsidP="00282A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16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51550" cy="3095625"/>
            <wp:effectExtent l="19050" t="0" r="25400" b="0"/>
            <wp:docPr id="1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295D" w:rsidRPr="005816E1" w:rsidRDefault="00E6295D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6D9" w:rsidRPr="005816E1" w:rsidRDefault="000846D9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>Между тем, следует отметить, что при рассмотрении динамики объем</w:t>
      </w:r>
      <w:r w:rsidR="007044FC" w:rsidRPr="005816E1">
        <w:rPr>
          <w:rFonts w:ascii="Times New Roman" w:eastAsia="Times New Roman" w:hAnsi="Times New Roman" w:cs="Times New Roman"/>
          <w:sz w:val="24"/>
          <w:szCs w:val="24"/>
        </w:rPr>
        <w:t xml:space="preserve">а промышленного производства по итогам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2016 года без учета вклада в совокупный выпуск ЗАО «Молдавская ГРЭС» и ОАО «Молдавский металлургический завод», по остальным предприятиям зафиксирован прирост объема промышленного производства по отношению к 2015 </w:t>
      </w:r>
      <w:r w:rsidR="00211A7D" w:rsidRPr="005816E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4405CC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11A7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на 6,</w:t>
      </w:r>
      <w:r w:rsidR="007044FC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1A7D"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95D" w:rsidRPr="005816E1" w:rsidRDefault="00E6295D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промышленного производства </w:t>
      </w:r>
      <w:r w:rsidRPr="005816E1">
        <w:rPr>
          <w:rFonts w:ascii="Times New Roman" w:hAnsi="Times New Roman"/>
          <w:sz w:val="24"/>
          <w:szCs w:val="24"/>
        </w:rPr>
        <w:t xml:space="preserve">по итогам 2016 года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по отношению к 2015 год</w:t>
      </w:r>
      <w:r w:rsidR="007044FC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зафиксировано в </w:t>
      </w: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E1">
        <w:rPr>
          <w:rFonts w:ascii="Times New Roman" w:eastAsia="Times New Roman" w:hAnsi="Times New Roman" w:cs="Times New Roman"/>
          <w:sz w:val="24"/>
          <w:szCs w:val="24"/>
        </w:rPr>
        <w:t>подотраслях</w:t>
      </w:r>
      <w:proofErr w:type="spellEnd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промышленности:</w:t>
      </w:r>
    </w:p>
    <w:p w:rsidR="0054698C" w:rsidRPr="005816E1" w:rsidRDefault="004616D9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6295D" w:rsidRPr="005816E1">
        <w:rPr>
          <w:rFonts w:ascii="Times New Roman" w:hAnsi="Times New Roman"/>
          <w:b/>
          <w:sz w:val="24"/>
          <w:szCs w:val="24"/>
        </w:rPr>
        <w:t xml:space="preserve">в химической промышленности </w:t>
      </w:r>
      <w:r w:rsidR="000E280E" w:rsidRPr="005816E1">
        <w:rPr>
          <w:rFonts w:ascii="Times New Roman" w:hAnsi="Times New Roman"/>
          <w:sz w:val="24"/>
          <w:szCs w:val="24"/>
        </w:rPr>
        <w:t xml:space="preserve">в рассматриваемом периоде </w:t>
      </w:r>
      <w:r w:rsidR="00813DE2" w:rsidRPr="005816E1">
        <w:rPr>
          <w:rFonts w:ascii="Times New Roman" w:hAnsi="Times New Roman"/>
          <w:sz w:val="24"/>
          <w:szCs w:val="24"/>
        </w:rPr>
        <w:t xml:space="preserve">увеличение </w:t>
      </w:r>
      <w:r w:rsidR="0066346E" w:rsidRPr="005816E1">
        <w:rPr>
          <w:rFonts w:ascii="Times New Roman" w:hAnsi="Times New Roman"/>
          <w:sz w:val="24"/>
          <w:szCs w:val="24"/>
        </w:rPr>
        <w:t xml:space="preserve">выпуска </w:t>
      </w:r>
      <w:r w:rsidR="004405CC" w:rsidRPr="005816E1">
        <w:rPr>
          <w:rFonts w:ascii="Times New Roman" w:hAnsi="Times New Roman"/>
          <w:sz w:val="24"/>
          <w:szCs w:val="24"/>
        </w:rPr>
        <w:t xml:space="preserve">стеклопластиков и изделий из них на 50,8%, </w:t>
      </w:r>
      <w:r w:rsidR="0066346E" w:rsidRPr="005816E1">
        <w:rPr>
          <w:rFonts w:ascii="Times New Roman" w:hAnsi="Times New Roman"/>
          <w:sz w:val="24"/>
          <w:szCs w:val="24"/>
        </w:rPr>
        <w:t xml:space="preserve">синтетических смол и пластмасс на </w:t>
      </w:r>
      <w:r w:rsidR="004405CC" w:rsidRPr="005816E1">
        <w:rPr>
          <w:rFonts w:ascii="Times New Roman" w:hAnsi="Times New Roman"/>
          <w:sz w:val="24"/>
          <w:szCs w:val="24"/>
        </w:rPr>
        <w:t>56,4</w:t>
      </w:r>
      <w:r w:rsidR="0066346E" w:rsidRPr="005816E1">
        <w:rPr>
          <w:rFonts w:ascii="Times New Roman" w:hAnsi="Times New Roman"/>
          <w:sz w:val="24"/>
          <w:szCs w:val="24"/>
        </w:rPr>
        <w:t xml:space="preserve">%, а также лаков в </w:t>
      </w:r>
      <w:r w:rsidR="004405CC" w:rsidRPr="005816E1">
        <w:rPr>
          <w:rFonts w:ascii="Times New Roman" w:hAnsi="Times New Roman"/>
          <w:sz w:val="24"/>
          <w:szCs w:val="24"/>
        </w:rPr>
        <w:t>25,6</w:t>
      </w:r>
      <w:r w:rsidR="0066346E" w:rsidRPr="005816E1">
        <w:rPr>
          <w:rFonts w:ascii="Times New Roman" w:hAnsi="Times New Roman"/>
          <w:sz w:val="24"/>
          <w:szCs w:val="24"/>
        </w:rPr>
        <w:t xml:space="preserve"> раз обусловило расширение товарного выпуска отрасли на</w:t>
      </w:r>
      <w:r w:rsidR="004405CC" w:rsidRPr="005816E1">
        <w:rPr>
          <w:rFonts w:ascii="Times New Roman" w:hAnsi="Times New Roman"/>
          <w:sz w:val="24"/>
          <w:szCs w:val="24"/>
        </w:rPr>
        <w:t xml:space="preserve"> 38,9</w:t>
      </w:r>
      <w:r w:rsidR="00BC2256" w:rsidRPr="005816E1">
        <w:rPr>
          <w:rFonts w:ascii="Times New Roman" w:hAnsi="Times New Roman"/>
          <w:sz w:val="24"/>
          <w:szCs w:val="24"/>
        </w:rPr>
        <w:t>%</w:t>
      </w:r>
      <w:r w:rsidR="0066346E" w:rsidRPr="005816E1">
        <w:rPr>
          <w:rFonts w:ascii="Times New Roman" w:hAnsi="Times New Roman"/>
          <w:sz w:val="24"/>
          <w:szCs w:val="24"/>
        </w:rPr>
        <w:t xml:space="preserve">. </w:t>
      </w:r>
      <w:r w:rsidR="004405CC" w:rsidRPr="005816E1">
        <w:rPr>
          <w:rFonts w:ascii="Times New Roman" w:hAnsi="Times New Roman"/>
          <w:sz w:val="24"/>
          <w:szCs w:val="24"/>
        </w:rPr>
        <w:t xml:space="preserve">Расширение объема товарного выпуска отрасли обеспечило рост доходов предприятий отрасли на 27,1%. </w:t>
      </w:r>
      <w:r w:rsidR="0066346E" w:rsidRPr="005816E1">
        <w:rPr>
          <w:rFonts w:ascii="Times New Roman" w:hAnsi="Times New Roman"/>
          <w:sz w:val="24"/>
          <w:szCs w:val="24"/>
        </w:rPr>
        <w:t xml:space="preserve">Также следует отметить, что </w:t>
      </w:r>
      <w:r w:rsidR="00495EB6" w:rsidRPr="005816E1">
        <w:rPr>
          <w:rFonts w:ascii="Times New Roman" w:eastAsia="Times New Roman" w:hAnsi="Times New Roman" w:cs="Times New Roman"/>
          <w:sz w:val="24"/>
          <w:szCs w:val="24"/>
        </w:rPr>
        <w:t>оказание государственной поддержки в виде льготных тарифов на энергоносители</w:t>
      </w:r>
      <w:proofErr w:type="gramEnd"/>
      <w:r w:rsidR="00495EB6" w:rsidRPr="005816E1">
        <w:rPr>
          <w:rFonts w:ascii="Times New Roman" w:eastAsia="Times New Roman" w:hAnsi="Times New Roman" w:cs="Times New Roman"/>
          <w:sz w:val="24"/>
          <w:szCs w:val="24"/>
        </w:rPr>
        <w:t xml:space="preserve"> и льгот по налогу на доходы </w:t>
      </w:r>
      <w:r w:rsidR="00495EB6" w:rsidRPr="005816E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</w:t>
      </w:r>
      <w:r w:rsidR="00495EB6" w:rsidRPr="005816E1">
        <w:rPr>
          <w:rFonts w:ascii="Times New Roman" w:hAnsi="Times New Roman"/>
          <w:sz w:val="24"/>
          <w:szCs w:val="24"/>
        </w:rPr>
        <w:t xml:space="preserve"> </w:t>
      </w:r>
      <w:r w:rsidR="00813DE2" w:rsidRPr="005816E1">
        <w:rPr>
          <w:rFonts w:ascii="Times New Roman" w:hAnsi="Times New Roman"/>
          <w:sz w:val="24"/>
          <w:szCs w:val="24"/>
        </w:rPr>
        <w:t>ЗАО «Завод «</w:t>
      </w:r>
      <w:proofErr w:type="spellStart"/>
      <w:r w:rsidR="00813DE2" w:rsidRPr="005816E1">
        <w:rPr>
          <w:rFonts w:ascii="Times New Roman" w:hAnsi="Times New Roman"/>
          <w:sz w:val="24"/>
          <w:szCs w:val="24"/>
        </w:rPr>
        <w:t>Молдавизолит</w:t>
      </w:r>
      <w:proofErr w:type="spellEnd"/>
      <w:r w:rsidR="00813DE2" w:rsidRPr="005816E1">
        <w:rPr>
          <w:rFonts w:ascii="Times New Roman" w:hAnsi="Times New Roman"/>
          <w:sz w:val="24"/>
          <w:szCs w:val="24"/>
        </w:rPr>
        <w:t>»</w:t>
      </w:r>
      <w:r w:rsidR="00495EB6" w:rsidRPr="005816E1">
        <w:rPr>
          <w:rFonts w:ascii="Times New Roman" w:hAnsi="Times New Roman"/>
          <w:sz w:val="24"/>
          <w:szCs w:val="24"/>
        </w:rPr>
        <w:t xml:space="preserve"> обусловило</w:t>
      </w:r>
      <w:r w:rsidR="0066346E" w:rsidRPr="005816E1">
        <w:rPr>
          <w:rFonts w:ascii="Times New Roman" w:eastAsia="Times New Roman" w:hAnsi="Times New Roman" w:cs="Times New Roman"/>
          <w:sz w:val="24"/>
          <w:szCs w:val="24"/>
        </w:rPr>
        <w:t xml:space="preserve"> увеличение объема производства </w:t>
      </w:r>
      <w:r w:rsidR="00495EB6" w:rsidRPr="005816E1">
        <w:rPr>
          <w:rFonts w:ascii="Times New Roman" w:eastAsia="Times New Roman" w:hAnsi="Times New Roman" w:cs="Times New Roman"/>
          <w:sz w:val="24"/>
          <w:szCs w:val="24"/>
        </w:rPr>
        <w:t xml:space="preserve">предприятия </w:t>
      </w:r>
      <w:r w:rsidR="0066346E"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рассматриваемом периоде </w:t>
      </w:r>
      <w:r w:rsidR="00495EB6" w:rsidRPr="005816E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346E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5CC" w:rsidRPr="005816E1">
        <w:rPr>
          <w:rFonts w:ascii="Times New Roman" w:eastAsia="Times New Roman" w:hAnsi="Times New Roman" w:cs="Times New Roman"/>
          <w:sz w:val="24"/>
          <w:szCs w:val="24"/>
        </w:rPr>
        <w:t>41,4</w:t>
      </w:r>
      <w:r w:rsidR="0066346E"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394E6B"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D8A" w:rsidRPr="005816E1" w:rsidRDefault="00612D8A" w:rsidP="00612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hAnsi="Times New Roman"/>
          <w:sz w:val="24"/>
          <w:szCs w:val="24"/>
        </w:rPr>
        <w:t xml:space="preserve">б)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предприятия </w:t>
      </w:r>
      <w:r w:rsidRPr="005816E1">
        <w:rPr>
          <w:rFonts w:ascii="Times New Roman" w:eastAsia="Times New Roman" w:hAnsi="Times New Roman" w:cs="Times New Roman"/>
          <w:b/>
          <w:sz w:val="24"/>
          <w:szCs w:val="24"/>
        </w:rPr>
        <w:t>машиностроения и металлообработки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по итогам 2016 года демонстрируют увеличение объема производства на </w:t>
      </w:r>
      <w:r w:rsidR="004405CC" w:rsidRPr="005816E1">
        <w:rPr>
          <w:rFonts w:ascii="Times New Roman" w:eastAsia="Times New Roman" w:hAnsi="Times New Roman" w:cs="Times New Roman"/>
          <w:sz w:val="24"/>
          <w:szCs w:val="24"/>
        </w:rPr>
        <w:t>4,8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% по отношению к параметрам 2015 года. </w:t>
      </w:r>
      <w:r w:rsidR="00720DE3" w:rsidRPr="005816E1">
        <w:rPr>
          <w:rFonts w:ascii="Times New Roman" w:eastAsia="Times New Roman" w:hAnsi="Times New Roman" w:cs="Times New Roman"/>
          <w:sz w:val="24"/>
          <w:szCs w:val="24"/>
        </w:rPr>
        <w:t xml:space="preserve">Умеренная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динамика показателя обусловлена ростом объема производства на </w:t>
      </w:r>
      <w:r w:rsidR="00720DE3" w:rsidRPr="005816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ЗАО «Российское предприятие «Бендерский машиностроительный завод» на 2</w:t>
      </w:r>
      <w:r w:rsidR="00720DE3" w:rsidRPr="005816E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0DE3" w:rsidRPr="005816E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720DE3" w:rsidRPr="005816E1">
        <w:rPr>
          <w:rFonts w:ascii="Times New Roman" w:eastAsia="Times New Roman" w:hAnsi="Times New Roman" w:cs="Times New Roman"/>
          <w:sz w:val="24"/>
          <w:szCs w:val="24"/>
        </w:rPr>
        <w:t xml:space="preserve"> и снижением производственных показателей на Филиал «Завод Прибор «АО «</w:t>
      </w:r>
      <w:proofErr w:type="spellStart"/>
      <w:r w:rsidR="00720DE3" w:rsidRPr="005816E1">
        <w:rPr>
          <w:rFonts w:ascii="Times New Roman" w:eastAsia="Times New Roman" w:hAnsi="Times New Roman" w:cs="Times New Roman"/>
          <w:sz w:val="24"/>
          <w:szCs w:val="24"/>
        </w:rPr>
        <w:t>НПЦгтс</w:t>
      </w:r>
      <w:proofErr w:type="spellEnd"/>
      <w:r w:rsidR="00720DE3" w:rsidRPr="005816E1">
        <w:rPr>
          <w:rFonts w:ascii="Times New Roman" w:eastAsia="Times New Roman" w:hAnsi="Times New Roman" w:cs="Times New Roman"/>
          <w:sz w:val="24"/>
          <w:szCs w:val="24"/>
        </w:rPr>
        <w:t xml:space="preserve"> «Салют» на 5,0%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95D" w:rsidRPr="005816E1" w:rsidRDefault="00612D8A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E6295D" w:rsidRPr="005816E1">
        <w:rPr>
          <w:rFonts w:ascii="Times New Roman" w:eastAsia="Times New Roman" w:hAnsi="Times New Roman" w:cs="Times New Roman"/>
          <w:b/>
          <w:sz w:val="24"/>
          <w:szCs w:val="24"/>
        </w:rPr>
        <w:t>промышленности строительных материалов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по итогам 2016 года</w:t>
      </w:r>
      <w:r w:rsidR="00102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>осуществлени</w:t>
      </w:r>
      <w:r w:rsidR="001020F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направленных на </w:t>
      </w:r>
      <w:r w:rsidR="00672D5B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снижение себестоимости продукции</w:t>
      </w:r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на крупнейшем предприятии отрасли - ЗАО «</w:t>
      </w:r>
      <w:proofErr w:type="spellStart"/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 xml:space="preserve"> цементный комбинат»</w:t>
      </w:r>
      <w:r w:rsidR="00672D5B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02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="001020FF" w:rsidRPr="005816E1">
        <w:rPr>
          <w:rFonts w:ascii="Times New Roman" w:hAnsi="Times New Roman" w:cs="Times New Roman"/>
          <w:sz w:val="24"/>
          <w:szCs w:val="24"/>
        </w:rPr>
        <w:t>введени</w:t>
      </w:r>
      <w:r w:rsidR="001020FF">
        <w:rPr>
          <w:rFonts w:ascii="Times New Roman" w:hAnsi="Times New Roman" w:cs="Times New Roman"/>
          <w:sz w:val="24"/>
          <w:szCs w:val="24"/>
        </w:rPr>
        <w:t>е</w:t>
      </w:r>
      <w:r w:rsidR="001020FF" w:rsidRPr="005816E1">
        <w:rPr>
          <w:rFonts w:ascii="Times New Roman" w:hAnsi="Times New Roman" w:cs="Times New Roman"/>
          <w:sz w:val="24"/>
          <w:szCs w:val="24"/>
        </w:rPr>
        <w:t xml:space="preserve"> Республикой Молдова специальных таможенных пошлин на украинский цем</w:t>
      </w:r>
      <w:r w:rsidR="001020FF">
        <w:rPr>
          <w:rFonts w:ascii="Times New Roman" w:hAnsi="Times New Roman" w:cs="Times New Roman"/>
          <w:sz w:val="24"/>
          <w:szCs w:val="24"/>
        </w:rPr>
        <w:t xml:space="preserve">ент позволило </w:t>
      </w:r>
      <w:r w:rsidR="001020FF" w:rsidRPr="005816E1">
        <w:rPr>
          <w:rFonts w:ascii="Times New Roman" w:hAnsi="Times New Roman" w:cs="Times New Roman"/>
          <w:sz w:val="24"/>
          <w:szCs w:val="24"/>
        </w:rPr>
        <w:t>упрочи</w:t>
      </w:r>
      <w:r w:rsidR="001020FF">
        <w:rPr>
          <w:rFonts w:ascii="Times New Roman" w:hAnsi="Times New Roman" w:cs="Times New Roman"/>
          <w:sz w:val="24"/>
          <w:szCs w:val="24"/>
        </w:rPr>
        <w:t>ть</w:t>
      </w:r>
      <w:r w:rsidR="001020FF" w:rsidRPr="005816E1">
        <w:rPr>
          <w:rFonts w:ascii="Times New Roman" w:hAnsi="Times New Roman" w:cs="Times New Roman"/>
          <w:sz w:val="24"/>
          <w:szCs w:val="24"/>
        </w:rPr>
        <w:t xml:space="preserve"> позиции комбината на молдавском рынке, </w:t>
      </w:r>
      <w:r w:rsidR="001020FF">
        <w:rPr>
          <w:rFonts w:ascii="Times New Roman" w:hAnsi="Times New Roman" w:cs="Times New Roman"/>
          <w:sz w:val="24"/>
          <w:szCs w:val="24"/>
        </w:rPr>
        <w:t xml:space="preserve">что способствовало </w:t>
      </w:r>
      <w:r w:rsidR="00672D5B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</w:t>
      </w:r>
      <w:r w:rsidR="00102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ению </w:t>
      </w:r>
      <w:r w:rsidR="00672D5B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="001020F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72D5B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производства </w:t>
      </w:r>
      <w:r w:rsidR="00102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предприятия </w:t>
      </w:r>
      <w:r w:rsidR="00672D5B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>на 3</w:t>
      </w:r>
      <w:r w:rsidR="006249B6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72D5B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49B6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72D5B" w:rsidRPr="005816E1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1020FF">
        <w:rPr>
          <w:rFonts w:ascii="Times New Roman" w:hAnsi="Times New Roman" w:cs="Times New Roman"/>
          <w:sz w:val="24"/>
          <w:szCs w:val="24"/>
          <w:shd w:val="clear" w:color="auto" w:fill="FFFFFF"/>
        </w:rPr>
        <w:t>, в целом</w:t>
      </w:r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по отрасли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зафиксирован прирост производственных показателей на </w:t>
      </w:r>
      <w:r w:rsidR="0051770E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49B6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770E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49B6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9F0330" w:rsidRPr="005816E1">
        <w:rPr>
          <w:rFonts w:ascii="Times New Roman" w:eastAsia="Times New Roman" w:hAnsi="Times New Roman" w:cs="Times New Roman"/>
          <w:sz w:val="24"/>
          <w:szCs w:val="24"/>
        </w:rPr>
        <w:t>511,9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млн. руб. </w:t>
      </w:r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 xml:space="preserve">При этом, учитывая неустойчивую конъюнктуру рынка, доходы предприятий отрасли приросли </w:t>
      </w:r>
      <w:r w:rsidR="00155790" w:rsidRPr="005816E1">
        <w:rPr>
          <w:rFonts w:ascii="Times New Roman" w:eastAsia="Times New Roman" w:hAnsi="Times New Roman" w:cs="Times New Roman"/>
          <w:sz w:val="24"/>
          <w:szCs w:val="24"/>
        </w:rPr>
        <w:t>менее значительно</w:t>
      </w:r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 xml:space="preserve"> («+»</w:t>
      </w:r>
      <w:r w:rsidR="009F0330" w:rsidRPr="00581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5790" w:rsidRPr="005816E1">
        <w:rPr>
          <w:rFonts w:ascii="Times New Roman" w:eastAsia="Times New Roman" w:hAnsi="Times New Roman" w:cs="Times New Roman"/>
          <w:sz w:val="24"/>
          <w:szCs w:val="24"/>
        </w:rPr>
        <w:t>,5</w:t>
      </w:r>
      <w:r w:rsidR="00672D5B" w:rsidRPr="005816E1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9F0330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="009F0330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F0330" w:rsidRPr="005816E1">
        <w:rPr>
          <w:rFonts w:ascii="Times New Roman" w:eastAsia="Times New Roman" w:hAnsi="Times New Roman" w:cs="Times New Roman"/>
          <w:sz w:val="24"/>
          <w:szCs w:val="24"/>
        </w:rPr>
        <w:t xml:space="preserve"> если рассматривать производственные показатели отрасли в декабре 2016 года, то следует отметить, что учитывая сезонный характер производимой предприятиями продукции, </w:t>
      </w:r>
      <w:r w:rsidR="00DC75A7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 отношению к ноябрю 2016 </w:t>
      </w:r>
      <w:r w:rsidR="007610CA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DC75A7" w:rsidRPr="005816E1">
        <w:rPr>
          <w:rFonts w:ascii="Times New Roman" w:eastAsia="Times New Roman" w:hAnsi="Times New Roman" w:cs="Times New Roman"/>
          <w:sz w:val="24"/>
          <w:szCs w:val="24"/>
        </w:rPr>
        <w:t>отмечено снижение объема производства на 45,0%.</w:t>
      </w:r>
    </w:p>
    <w:p w:rsidR="00343FF7" w:rsidRPr="005816E1" w:rsidRDefault="00343FF7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В натуральном выражении по отрасли отмечено увеличение производства цемента на </w:t>
      </w:r>
      <w:r w:rsidR="004A3C58" w:rsidRPr="00581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F0330" w:rsidRPr="00581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3C58" w:rsidRPr="005816E1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% и клинкера на </w:t>
      </w:r>
      <w:r w:rsidR="009F0330" w:rsidRPr="005816E1">
        <w:rPr>
          <w:rFonts w:ascii="Times New Roman" w:eastAsia="Times New Roman" w:hAnsi="Times New Roman" w:cs="Times New Roman"/>
          <w:sz w:val="24"/>
          <w:szCs w:val="24"/>
        </w:rPr>
        <w:t>42,9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6295D" w:rsidRPr="005816E1" w:rsidRDefault="00612D8A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hAnsi="Times New Roman"/>
          <w:sz w:val="24"/>
          <w:szCs w:val="24"/>
        </w:rPr>
        <w:t>г</w:t>
      </w:r>
      <w:r w:rsidR="00E6295D" w:rsidRPr="005816E1">
        <w:rPr>
          <w:rFonts w:ascii="Times New Roman" w:hAnsi="Times New Roman"/>
          <w:sz w:val="24"/>
          <w:szCs w:val="24"/>
        </w:rPr>
        <w:t>)</w:t>
      </w:r>
      <w:r w:rsidR="00E6295D" w:rsidRPr="005816E1">
        <w:rPr>
          <w:rFonts w:ascii="Times New Roman" w:hAnsi="Times New Roman"/>
          <w:b/>
          <w:sz w:val="24"/>
          <w:szCs w:val="24"/>
        </w:rPr>
        <w:t xml:space="preserve"> </w:t>
      </w:r>
      <w:r w:rsidR="000909D1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предприятиях </w:t>
      </w:r>
      <w:r w:rsidR="000909D1" w:rsidRPr="005816E1">
        <w:rPr>
          <w:rFonts w:ascii="Times New Roman" w:eastAsia="Times New Roman" w:hAnsi="Times New Roman" w:cs="Times New Roman"/>
          <w:b/>
          <w:sz w:val="24"/>
          <w:szCs w:val="24"/>
        </w:rPr>
        <w:t xml:space="preserve">легкой промышленности </w:t>
      </w:r>
      <w:r w:rsidR="000909D1" w:rsidRPr="005816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2016 год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01F" w:rsidRPr="005816E1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производства 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платьев на 20,5%, </w:t>
      </w:r>
      <w:r w:rsidR="007610CA" w:rsidRPr="005816E1">
        <w:rPr>
          <w:rFonts w:ascii="Times New Roman" w:eastAsia="Times New Roman" w:hAnsi="Times New Roman" w:cs="Times New Roman"/>
          <w:sz w:val="24"/>
          <w:szCs w:val="24"/>
        </w:rPr>
        <w:t>комплектов постельного белья на 45,6%,</w:t>
      </w:r>
      <w:r w:rsidR="00761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052" w:rsidRPr="005816E1">
        <w:rPr>
          <w:rFonts w:ascii="Times New Roman" w:eastAsia="Times New Roman" w:hAnsi="Times New Roman" w:cs="Times New Roman"/>
          <w:sz w:val="24"/>
          <w:szCs w:val="24"/>
        </w:rPr>
        <w:t xml:space="preserve">костюмов на 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>74,9</w:t>
      </w:r>
      <w:r w:rsidR="00D03052" w:rsidRPr="005816E1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1D4F01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пальто и полупальто в 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>2,9</w:t>
      </w:r>
      <w:r w:rsidR="001D4F01" w:rsidRPr="005816E1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976210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301F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168" w:rsidRPr="005816E1">
        <w:rPr>
          <w:rFonts w:ascii="Times New Roman" w:eastAsia="Times New Roman" w:hAnsi="Times New Roman" w:cs="Times New Roman"/>
          <w:sz w:val="24"/>
          <w:szCs w:val="24"/>
        </w:rPr>
        <w:t>трикотажных изделий</w:t>
      </w:r>
      <w:r w:rsidR="0036301F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>22,5</w:t>
      </w:r>
      <w:r w:rsidR="00556168" w:rsidRPr="005816E1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73222B" w:rsidRPr="005816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F1D2F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обусловило расширение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отраслевого выпуска </w:t>
      </w:r>
      <w:proofErr w:type="gramStart"/>
      <w:r w:rsidR="000909D1" w:rsidRPr="005816E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 xml:space="preserve"> 10,4</w:t>
      </w:r>
      <w:r w:rsidR="000909D1" w:rsidRPr="005816E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сопоставимых ценах </w:t>
      </w:r>
      <w:r w:rsidR="00976210" w:rsidRPr="005816E1">
        <w:rPr>
          <w:rFonts w:ascii="Times New Roman" w:eastAsia="Times New Roman" w:hAnsi="Times New Roman" w:cs="Times New Roman"/>
          <w:sz w:val="24"/>
          <w:szCs w:val="24"/>
        </w:rPr>
        <w:t>относительно показателя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2015 года. </w:t>
      </w:r>
      <w:r w:rsidR="00976210" w:rsidRPr="005816E1">
        <w:rPr>
          <w:rFonts w:ascii="Times New Roman" w:eastAsia="Times New Roman" w:hAnsi="Times New Roman" w:cs="Times New Roman"/>
          <w:sz w:val="24"/>
          <w:szCs w:val="24"/>
        </w:rPr>
        <w:t>При этом следует отметить, что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определяющее влияние на отраслевой показатель оказывает работа крупнейшего предприятия отрасли 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Тиротекс</w:t>
      </w:r>
      <w:proofErr w:type="spellEnd"/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440EC" w:rsidRPr="00581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40EC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% отраслевого выпуска), увеличившего товарный выпуск за рассматриваемый период на </w:t>
      </w:r>
      <w:r w:rsidR="008006DF" w:rsidRPr="005816E1">
        <w:rPr>
          <w:rFonts w:ascii="Times New Roman" w:eastAsia="Times New Roman" w:hAnsi="Times New Roman" w:cs="Times New Roman"/>
          <w:sz w:val="24"/>
          <w:szCs w:val="24"/>
        </w:rPr>
        <w:t>26,0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%. Также увеличение товарного выпуска отмечено на </w:t>
      </w:r>
      <w:r w:rsidR="001D4F01" w:rsidRPr="005816E1">
        <w:rPr>
          <w:rFonts w:ascii="Times New Roman" w:eastAsia="Times New Roman" w:hAnsi="Times New Roman" w:cs="Times New Roman"/>
          <w:sz w:val="24"/>
          <w:szCs w:val="24"/>
        </w:rPr>
        <w:t>ОАО «</w:t>
      </w:r>
      <w:proofErr w:type="spellStart"/>
      <w:r w:rsidR="001D4F01" w:rsidRPr="005816E1">
        <w:rPr>
          <w:rFonts w:ascii="Times New Roman" w:eastAsia="Times New Roman" w:hAnsi="Times New Roman" w:cs="Times New Roman"/>
          <w:sz w:val="24"/>
          <w:szCs w:val="24"/>
        </w:rPr>
        <w:t>Флоаре</w:t>
      </w:r>
      <w:proofErr w:type="spellEnd"/>
      <w:r w:rsidR="001D4F01" w:rsidRPr="005816E1">
        <w:rPr>
          <w:rFonts w:ascii="Times New Roman" w:eastAsia="Times New Roman" w:hAnsi="Times New Roman" w:cs="Times New Roman"/>
          <w:sz w:val="24"/>
          <w:szCs w:val="24"/>
        </w:rPr>
        <w:t xml:space="preserve">» - на </w:t>
      </w:r>
      <w:r w:rsidR="00DC48F5" w:rsidRPr="005816E1">
        <w:rPr>
          <w:rFonts w:ascii="Times New Roman" w:eastAsia="Times New Roman" w:hAnsi="Times New Roman" w:cs="Times New Roman"/>
          <w:sz w:val="24"/>
          <w:szCs w:val="24"/>
        </w:rPr>
        <w:t>8,2</w:t>
      </w:r>
      <w:r w:rsidR="001D4F01" w:rsidRPr="005816E1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ЗАО «Швейная фирма «</w:t>
      </w:r>
      <w:proofErr w:type="spellStart"/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Вестра</w:t>
      </w:r>
      <w:proofErr w:type="spellEnd"/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» - на </w:t>
      </w:r>
      <w:r w:rsidR="00426D9F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48F5" w:rsidRPr="00581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6D9F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48F5" w:rsidRPr="00581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%,</w:t>
      </w:r>
      <w:r w:rsidR="001440EC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210" w:rsidRPr="005816E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gramStart"/>
      <w:r w:rsidR="00976210" w:rsidRPr="005816E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 w:rsidR="00976210" w:rsidRPr="005816E1">
        <w:rPr>
          <w:rFonts w:ascii="Times New Roman" w:eastAsia="Times New Roman" w:hAnsi="Times New Roman" w:cs="Times New Roman"/>
          <w:sz w:val="24"/>
          <w:szCs w:val="24"/>
        </w:rPr>
        <w:t>ПФ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6210" w:rsidRPr="005816E1">
        <w:rPr>
          <w:rFonts w:ascii="Times New Roman" w:eastAsia="Times New Roman" w:hAnsi="Times New Roman" w:cs="Times New Roman"/>
          <w:sz w:val="24"/>
          <w:szCs w:val="24"/>
        </w:rPr>
        <w:t>Интерцентр</w:t>
      </w:r>
      <w:proofErr w:type="spellEnd"/>
      <w:r w:rsidR="00976210" w:rsidRPr="005816E1">
        <w:rPr>
          <w:rFonts w:ascii="Times New Roman" w:eastAsia="Times New Roman" w:hAnsi="Times New Roman" w:cs="Times New Roman"/>
          <w:sz w:val="24"/>
          <w:szCs w:val="24"/>
        </w:rPr>
        <w:t xml:space="preserve"> Люкс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» - на </w:t>
      </w:r>
      <w:r w:rsidR="00DC48F5" w:rsidRPr="005816E1">
        <w:rPr>
          <w:rFonts w:ascii="Times New Roman" w:eastAsia="Times New Roman" w:hAnsi="Times New Roman" w:cs="Times New Roman"/>
          <w:sz w:val="24"/>
          <w:szCs w:val="24"/>
        </w:rPr>
        <w:t>26,4</w:t>
      </w:r>
      <w:r w:rsidR="001440EC"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394E6B"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результаты в деятельности </w:t>
      </w:r>
      <w:r w:rsidR="000D23C3" w:rsidRPr="005816E1">
        <w:rPr>
          <w:rFonts w:ascii="Times New Roman" w:eastAsia="Times New Roman" w:hAnsi="Times New Roman" w:cs="Times New Roman"/>
          <w:sz w:val="24"/>
          <w:szCs w:val="24"/>
        </w:rPr>
        <w:t>экономических агентов отрасли</w:t>
      </w:r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обусловлены </w:t>
      </w:r>
      <w:r w:rsidR="002E6176" w:rsidRPr="005816E1">
        <w:rPr>
          <w:rFonts w:ascii="Times New Roman" w:eastAsia="Times New Roman" w:hAnsi="Times New Roman" w:cs="Times New Roman"/>
          <w:sz w:val="24"/>
          <w:szCs w:val="24"/>
        </w:rPr>
        <w:t xml:space="preserve">как поиском новых рынков сбыта, так и </w:t>
      </w:r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оказанием государственной поддержки 4 предприятиям легкой промышленности (ЗАО «</w:t>
      </w:r>
      <w:proofErr w:type="spellStart"/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Тиротекс</w:t>
      </w:r>
      <w:proofErr w:type="spellEnd"/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», ЗАО «</w:t>
      </w:r>
      <w:proofErr w:type="spellStart"/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Одема</w:t>
      </w:r>
      <w:proofErr w:type="spellEnd"/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» им. В</w:t>
      </w:r>
      <w:r w:rsidR="00C02823" w:rsidRPr="005816E1">
        <w:rPr>
          <w:rFonts w:ascii="Times New Roman" w:eastAsia="Times New Roman" w:hAnsi="Times New Roman" w:cs="Times New Roman"/>
          <w:sz w:val="24"/>
          <w:szCs w:val="24"/>
        </w:rPr>
        <w:t>.Соловьевой, ЗАО «Швейная фирма</w:t>
      </w:r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823" w:rsidRPr="005816E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Вестра</w:t>
      </w:r>
      <w:proofErr w:type="spellEnd"/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», ООО «</w:t>
      </w:r>
      <w:proofErr w:type="spellStart"/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Софтшуз</w:t>
      </w:r>
      <w:proofErr w:type="spellEnd"/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») в виде льготных тарифов на энергоносители и льгот по налогу на доходы</w:t>
      </w:r>
      <w:r w:rsidR="00B3408A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C1644B" w:rsidRPr="005816E1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способствовало </w:t>
      </w:r>
      <w:r w:rsidR="002E6176" w:rsidRPr="005816E1">
        <w:rPr>
          <w:rFonts w:ascii="Times New Roman" w:eastAsia="Times New Roman" w:hAnsi="Times New Roman" w:cs="Times New Roman"/>
          <w:sz w:val="24"/>
          <w:szCs w:val="24"/>
        </w:rPr>
        <w:t>повышению конкурентоспособности продукции</w:t>
      </w:r>
      <w:r w:rsidR="00DE009C"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95D" w:rsidRPr="005816E1" w:rsidRDefault="00017592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8F5" w:rsidRPr="005816E1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C1644B" w:rsidRPr="005816E1">
        <w:rPr>
          <w:rFonts w:ascii="Times New Roman" w:eastAsia="Times New Roman" w:hAnsi="Times New Roman" w:cs="Times New Roman"/>
          <w:sz w:val="24"/>
          <w:szCs w:val="24"/>
        </w:rPr>
        <w:t>бре</w:t>
      </w:r>
      <w:r w:rsidR="00394E6B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2016 года по отношению к </w:t>
      </w:r>
      <w:r w:rsidR="00DC48F5" w:rsidRPr="005816E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D15C4" w:rsidRPr="005816E1">
        <w:rPr>
          <w:rFonts w:ascii="Times New Roman" w:eastAsia="Times New Roman" w:hAnsi="Times New Roman" w:cs="Times New Roman"/>
          <w:sz w:val="24"/>
          <w:szCs w:val="24"/>
        </w:rPr>
        <w:t>ябрю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</w:t>
      </w:r>
      <w:r w:rsidR="00875091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91" w:rsidRPr="005816E1">
        <w:rPr>
          <w:rFonts w:ascii="Times New Roman" w:eastAsia="Times New Roman" w:hAnsi="Times New Roman" w:cs="Times New Roman"/>
          <w:sz w:val="24"/>
          <w:szCs w:val="24"/>
        </w:rPr>
        <w:t>на фоне</w:t>
      </w:r>
      <w:r w:rsidR="00C1644B"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нестабильной динамики спроса на продукцию</w:t>
      </w:r>
      <w:r w:rsidR="006D15C4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легкой промышленности</w:t>
      </w:r>
      <w:r w:rsidR="00875091" w:rsidRPr="00581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644B" w:rsidRPr="005816E1">
        <w:rPr>
          <w:rFonts w:ascii="Times New Roman" w:eastAsia="Times New Roman" w:hAnsi="Times New Roman" w:cs="Times New Roman"/>
          <w:sz w:val="24"/>
          <w:szCs w:val="24"/>
        </w:rPr>
        <w:t xml:space="preserve">валовой выпуск легкой промышленности </w:t>
      </w:r>
      <w:r w:rsidR="00BD28DE" w:rsidRPr="005816E1">
        <w:rPr>
          <w:rFonts w:ascii="Times New Roman" w:eastAsia="Times New Roman" w:hAnsi="Times New Roman" w:cs="Times New Roman"/>
          <w:sz w:val="24"/>
          <w:szCs w:val="24"/>
        </w:rPr>
        <w:t>увеличился на</w:t>
      </w:r>
      <w:r w:rsidR="007C2396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8F5" w:rsidRPr="005816E1">
        <w:rPr>
          <w:rFonts w:ascii="Times New Roman" w:eastAsia="Times New Roman" w:hAnsi="Times New Roman" w:cs="Times New Roman"/>
          <w:sz w:val="24"/>
          <w:szCs w:val="24"/>
        </w:rPr>
        <w:t>6,6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6295D" w:rsidRPr="005816E1" w:rsidRDefault="00E6295D" w:rsidP="0028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Calibri" w:eastAsia="Times New Roman" w:hAnsi="Calibri" w:cs="Times New Roman"/>
          <w:noProof/>
        </w:rPr>
        <w:drawing>
          <wp:inline distT="0" distB="0" distL="0" distR="0">
            <wp:extent cx="6181725" cy="1495425"/>
            <wp:effectExtent l="19050" t="0" r="0" b="0"/>
            <wp:docPr id="1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0B75" w:rsidRPr="005816E1" w:rsidRDefault="00612D8A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6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E6295D" w:rsidRPr="005816E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пищевой промышленности </w:t>
      </w:r>
      <w:r w:rsidR="00E6295D" w:rsidRPr="005816E1">
        <w:rPr>
          <w:rFonts w:ascii="Times New Roman" w:eastAsia="Times New Roman" w:hAnsi="Times New Roman" w:cs="Times New Roman"/>
          <w:snapToGrid w:val="0"/>
          <w:sz w:val="24"/>
          <w:szCs w:val="24"/>
        </w:rPr>
        <w:t>в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рассматриваемом периоде </w:t>
      </w:r>
      <w:r w:rsidR="00D03052" w:rsidRPr="005816E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отмечено </w:t>
      </w:r>
      <w:r w:rsidR="00E6295D" w:rsidRPr="005816E1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увеличение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товарного выпуска в сопоставимых ценах на </w:t>
      </w:r>
      <w:r w:rsidR="00E05799" w:rsidRPr="00581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F2901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7186" w:rsidRPr="00581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%, что вызвано расширением объемов производства на </w:t>
      </w:r>
      <w:r w:rsidR="003A3A1C" w:rsidRPr="005816E1">
        <w:rPr>
          <w:rFonts w:ascii="Times New Roman" w:eastAsia="Times New Roman" w:hAnsi="Times New Roman" w:cs="Times New Roman"/>
          <w:sz w:val="24"/>
          <w:szCs w:val="24"/>
        </w:rPr>
        <w:t>ЗАО «Тираспольский винно-коньячный завод «KVINT» («+»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7186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40CA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7186" w:rsidRPr="005816E1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3A1C" w:rsidRPr="005816E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C91C6D" w:rsidRPr="00581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3052" w:rsidRPr="005816E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41560" w:rsidRPr="005816E1">
        <w:rPr>
          <w:rFonts w:ascii="Times New Roman" w:eastAsia="Times New Roman" w:hAnsi="Times New Roman" w:cs="Times New Roman"/>
          <w:sz w:val="24"/>
          <w:szCs w:val="24"/>
        </w:rPr>
        <w:t>ЗАО «Завод консервов детского питания («+»</w:t>
      </w:r>
      <w:r w:rsidR="00D03052" w:rsidRPr="00581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4C6D" w:rsidRPr="00581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03052" w:rsidRPr="005816E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F41560" w:rsidRPr="005816E1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9F2901" w:rsidRPr="005816E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44C6D" w:rsidRPr="005816E1">
        <w:rPr>
          <w:rFonts w:ascii="Times New Roman" w:eastAsia="Times New Roman" w:hAnsi="Times New Roman" w:cs="Times New Roman"/>
          <w:sz w:val="24"/>
          <w:szCs w:val="24"/>
        </w:rPr>
        <w:t>Тавер</w:t>
      </w:r>
      <w:r w:rsidR="009F2901" w:rsidRPr="005816E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9F2901" w:rsidRPr="005816E1">
        <w:rPr>
          <w:rFonts w:ascii="Times New Roman" w:eastAsia="Times New Roman" w:hAnsi="Times New Roman" w:cs="Times New Roman"/>
          <w:sz w:val="24"/>
          <w:szCs w:val="24"/>
        </w:rPr>
        <w:t>» («+»</w:t>
      </w:r>
      <w:r w:rsidR="00F27186" w:rsidRPr="005816E1">
        <w:rPr>
          <w:rFonts w:ascii="Times New Roman" w:eastAsia="Times New Roman" w:hAnsi="Times New Roman" w:cs="Times New Roman"/>
          <w:sz w:val="24"/>
          <w:szCs w:val="24"/>
        </w:rPr>
        <w:t>41,3</w:t>
      </w:r>
      <w:r w:rsidR="009F2901" w:rsidRPr="005816E1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и др</w:t>
      </w:r>
      <w:r w:rsidR="00850B75" w:rsidRPr="005816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7186" w:rsidRPr="005816E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F27186" w:rsidRPr="005816E1">
        <w:rPr>
          <w:rFonts w:ascii="Times New Roman" w:eastAsia="Times New Roman" w:hAnsi="Times New Roman" w:cs="Times New Roman"/>
          <w:sz w:val="24"/>
          <w:szCs w:val="24"/>
        </w:rPr>
        <w:lastRenderedPageBreak/>
        <w:t>этом</w:t>
      </w:r>
      <w:r w:rsidR="00850B75" w:rsidRPr="005816E1">
        <w:rPr>
          <w:rFonts w:ascii="Times New Roman" w:eastAsia="Times New Roman" w:hAnsi="Times New Roman" w:cs="Times New Roman"/>
          <w:sz w:val="24"/>
          <w:szCs w:val="24"/>
        </w:rPr>
        <w:t xml:space="preserve">, учитывая понижательную динамику цен на продукцию </w:t>
      </w:r>
      <w:proofErr w:type="gramStart"/>
      <w:r w:rsidR="00850B75" w:rsidRPr="005816E1">
        <w:rPr>
          <w:rFonts w:ascii="Times New Roman" w:eastAsia="Times New Roman" w:hAnsi="Times New Roman" w:cs="Times New Roman"/>
          <w:sz w:val="24"/>
          <w:szCs w:val="24"/>
        </w:rPr>
        <w:t>отрасли</w:t>
      </w:r>
      <w:proofErr w:type="gramEnd"/>
      <w:r w:rsidR="00850B75" w:rsidRPr="005816E1">
        <w:rPr>
          <w:rFonts w:ascii="Times New Roman" w:eastAsia="Times New Roman" w:hAnsi="Times New Roman" w:cs="Times New Roman"/>
          <w:sz w:val="24"/>
          <w:szCs w:val="24"/>
        </w:rPr>
        <w:t xml:space="preserve"> следует отметить, что в текущих ценах объем промышленного производства отрасли </w:t>
      </w:r>
      <w:r w:rsidR="00F27186" w:rsidRPr="005816E1">
        <w:rPr>
          <w:rFonts w:ascii="Times New Roman" w:eastAsia="Times New Roman" w:hAnsi="Times New Roman" w:cs="Times New Roman"/>
          <w:sz w:val="24"/>
          <w:szCs w:val="24"/>
        </w:rPr>
        <w:t>в 2016 году увеличился</w:t>
      </w:r>
      <w:r w:rsidR="00850B75"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05799" w:rsidRPr="005816E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27186" w:rsidRPr="005816E1">
        <w:rPr>
          <w:rFonts w:ascii="Times New Roman" w:eastAsia="Times New Roman" w:hAnsi="Times New Roman" w:cs="Times New Roman"/>
          <w:sz w:val="24"/>
          <w:szCs w:val="24"/>
        </w:rPr>
        <w:t>7%</w:t>
      </w:r>
      <w:r w:rsidR="00850B75"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022" w:rsidRPr="005816E1" w:rsidRDefault="00C91C6D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динамика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объемов производства </w:t>
      </w:r>
      <w:r w:rsidR="001B0022" w:rsidRPr="005816E1">
        <w:rPr>
          <w:rFonts w:ascii="Times New Roman" w:eastAsia="Times New Roman" w:hAnsi="Times New Roman" w:cs="Times New Roman"/>
          <w:sz w:val="24"/>
          <w:szCs w:val="24"/>
        </w:rPr>
        <w:t xml:space="preserve">отрасли </w:t>
      </w:r>
      <w:r w:rsidRPr="005816E1">
        <w:rPr>
          <w:rFonts w:ascii="Times New Roman" w:hAnsi="Times New Roman" w:cs="Times New Roman"/>
          <w:sz w:val="24"/>
          <w:szCs w:val="24"/>
        </w:rPr>
        <w:t xml:space="preserve">в </w:t>
      </w:r>
      <w:r w:rsidR="00FA707C" w:rsidRPr="005816E1">
        <w:rPr>
          <w:rFonts w:ascii="Times New Roman" w:hAnsi="Times New Roman" w:cs="Times New Roman"/>
          <w:sz w:val="24"/>
          <w:szCs w:val="24"/>
        </w:rPr>
        <w:t xml:space="preserve">натуральном выражении отмечена </w:t>
      </w:r>
      <w:r w:rsidR="00D03052" w:rsidRPr="005816E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B0022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выпуск</w:t>
      </w:r>
      <w:r w:rsidR="00D03052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B0022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08A" w:rsidRPr="005816E1">
        <w:rPr>
          <w:rFonts w:ascii="Times New Roman" w:eastAsia="Times New Roman" w:hAnsi="Times New Roman" w:cs="Times New Roman"/>
          <w:sz w:val="24"/>
          <w:szCs w:val="24"/>
        </w:rPr>
        <w:t>кондитерских изделий («+»</w:t>
      </w:r>
      <w:r w:rsidR="008767CF" w:rsidRPr="005816E1">
        <w:rPr>
          <w:rFonts w:ascii="Times New Roman" w:eastAsia="Times New Roman" w:hAnsi="Times New Roman" w:cs="Times New Roman"/>
          <w:sz w:val="24"/>
          <w:szCs w:val="24"/>
        </w:rPr>
        <w:t>23,1</w:t>
      </w:r>
      <w:r w:rsidR="00B3408A" w:rsidRPr="005816E1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DE6440" w:rsidRPr="005816E1">
        <w:rPr>
          <w:rFonts w:ascii="Times New Roman" w:eastAsia="Times New Roman" w:hAnsi="Times New Roman" w:cs="Times New Roman"/>
          <w:sz w:val="24"/>
          <w:szCs w:val="24"/>
        </w:rPr>
        <w:t>вин виноградных («+»</w:t>
      </w:r>
      <w:r w:rsidR="00650967" w:rsidRPr="005816E1">
        <w:rPr>
          <w:rFonts w:ascii="Times New Roman" w:eastAsia="Times New Roman" w:hAnsi="Times New Roman" w:cs="Times New Roman"/>
          <w:sz w:val="24"/>
          <w:szCs w:val="24"/>
        </w:rPr>
        <w:t>43,6</w:t>
      </w:r>
      <w:r w:rsidR="00DE6440" w:rsidRPr="005816E1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FA707C" w:rsidRPr="005816E1">
        <w:rPr>
          <w:rFonts w:ascii="Times New Roman" w:eastAsia="Times New Roman" w:hAnsi="Times New Roman" w:cs="Times New Roman"/>
          <w:sz w:val="24"/>
          <w:szCs w:val="24"/>
        </w:rPr>
        <w:t>мясных полуфабрикатов</w:t>
      </w:r>
      <w:r w:rsidR="001B0022" w:rsidRPr="005816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«+»</w:t>
      </w:r>
      <w:r w:rsidR="00E05799" w:rsidRPr="00581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0967" w:rsidRPr="00581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5799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0967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F41560" w:rsidRPr="005816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0022" w:rsidRPr="00581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51B2" w:rsidRPr="005816E1">
        <w:rPr>
          <w:rFonts w:ascii="Times New Roman" w:eastAsia="Times New Roman" w:hAnsi="Times New Roman" w:cs="Times New Roman"/>
          <w:sz w:val="24"/>
          <w:szCs w:val="24"/>
        </w:rPr>
        <w:t xml:space="preserve">сыров жирных (в </w:t>
      </w:r>
      <w:r w:rsidR="00E05799" w:rsidRPr="005816E1">
        <w:rPr>
          <w:rFonts w:ascii="Times New Roman" w:eastAsia="Times New Roman" w:hAnsi="Times New Roman" w:cs="Times New Roman"/>
          <w:sz w:val="24"/>
          <w:szCs w:val="24"/>
        </w:rPr>
        <w:t>3,</w:t>
      </w:r>
      <w:r w:rsidR="00650967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5799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1B2" w:rsidRPr="005816E1">
        <w:rPr>
          <w:rFonts w:ascii="Times New Roman" w:eastAsia="Times New Roman" w:hAnsi="Times New Roman" w:cs="Times New Roman"/>
          <w:sz w:val="24"/>
          <w:szCs w:val="24"/>
        </w:rPr>
        <w:t xml:space="preserve">р.), </w:t>
      </w:r>
      <w:r w:rsidR="00FA707C" w:rsidRPr="005816E1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DE6440" w:rsidRPr="005816E1">
        <w:rPr>
          <w:rFonts w:ascii="Times New Roman" w:eastAsia="Times New Roman" w:hAnsi="Times New Roman" w:cs="Times New Roman"/>
          <w:sz w:val="24"/>
          <w:szCs w:val="24"/>
        </w:rPr>
        <w:t xml:space="preserve">масла растительного (в </w:t>
      </w:r>
      <w:r w:rsidR="00850B75" w:rsidRPr="005816E1">
        <w:rPr>
          <w:rFonts w:ascii="Times New Roman" w:eastAsia="Times New Roman" w:hAnsi="Times New Roman" w:cs="Times New Roman"/>
          <w:sz w:val="24"/>
          <w:szCs w:val="24"/>
        </w:rPr>
        <w:t>3,</w:t>
      </w:r>
      <w:r w:rsidR="00650967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6440" w:rsidRPr="005816E1">
        <w:rPr>
          <w:rFonts w:ascii="Times New Roman" w:eastAsia="Times New Roman" w:hAnsi="Times New Roman" w:cs="Times New Roman"/>
          <w:sz w:val="24"/>
          <w:szCs w:val="24"/>
        </w:rPr>
        <w:t xml:space="preserve"> р.),</w:t>
      </w:r>
      <w:r w:rsidR="00FA707C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5CD" w:rsidRPr="005816E1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="001B0022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Вместе с этим по ряду товарных позиций отмечалось сокращение: </w:t>
      </w:r>
      <w:r w:rsidR="00650967" w:rsidRPr="005816E1">
        <w:rPr>
          <w:rFonts w:ascii="Times New Roman" w:eastAsia="Times New Roman" w:hAnsi="Times New Roman" w:cs="Times New Roman"/>
          <w:sz w:val="24"/>
          <w:szCs w:val="24"/>
        </w:rPr>
        <w:t xml:space="preserve">консервов (на 10,5%), коньяков (на 7,7%), </w:t>
      </w:r>
      <w:r w:rsidR="00F41560" w:rsidRPr="005816E1">
        <w:rPr>
          <w:rFonts w:ascii="Times New Roman" w:eastAsia="Times New Roman" w:hAnsi="Times New Roman" w:cs="Times New Roman"/>
          <w:sz w:val="24"/>
          <w:szCs w:val="24"/>
        </w:rPr>
        <w:t xml:space="preserve">безалкогольных напитков и минеральных вод (в среднем на </w:t>
      </w:r>
      <w:r w:rsidR="00650967" w:rsidRPr="005816E1">
        <w:rPr>
          <w:rFonts w:ascii="Times New Roman" w:eastAsia="Times New Roman" w:hAnsi="Times New Roman" w:cs="Times New Roman"/>
          <w:sz w:val="24"/>
          <w:szCs w:val="24"/>
        </w:rPr>
        <w:t>7,1</w:t>
      </w:r>
      <w:r w:rsidR="00BE7610" w:rsidRPr="005816E1">
        <w:rPr>
          <w:rFonts w:ascii="Times New Roman" w:eastAsia="Times New Roman" w:hAnsi="Times New Roman" w:cs="Times New Roman"/>
          <w:sz w:val="24"/>
          <w:szCs w:val="24"/>
        </w:rPr>
        <w:t>%),</w:t>
      </w:r>
      <w:r w:rsidR="001B0022" w:rsidRPr="005816E1">
        <w:rPr>
          <w:rFonts w:ascii="Times New Roman" w:eastAsia="Times New Roman" w:hAnsi="Times New Roman" w:cs="Times New Roman"/>
          <w:sz w:val="24"/>
          <w:szCs w:val="24"/>
        </w:rPr>
        <w:t xml:space="preserve"> животных масел</w:t>
      </w:r>
      <w:proofErr w:type="gramEnd"/>
      <w:r w:rsidR="001B0022" w:rsidRPr="005816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D6BCB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50967" w:rsidRPr="005816E1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3775CD" w:rsidRPr="005816E1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E6295D" w:rsidRPr="005816E1" w:rsidRDefault="00E6295D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Спад промышленного производства в </w:t>
      </w:r>
      <w:r w:rsidR="006769F4" w:rsidRPr="005816E1">
        <w:rPr>
          <w:rFonts w:ascii="Times New Roman" w:eastAsia="Times New Roman" w:hAnsi="Times New Roman" w:cs="Times New Roman"/>
          <w:sz w:val="24"/>
          <w:szCs w:val="24"/>
        </w:rPr>
        <w:t>рассматриваемом периоде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2015 году наблюдается в </w:t>
      </w: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E1">
        <w:rPr>
          <w:rFonts w:ascii="Times New Roman" w:eastAsia="Times New Roman" w:hAnsi="Times New Roman" w:cs="Times New Roman"/>
          <w:sz w:val="24"/>
          <w:szCs w:val="24"/>
        </w:rPr>
        <w:t>подотраслях</w:t>
      </w:r>
      <w:proofErr w:type="spellEnd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промышленности:</w:t>
      </w:r>
    </w:p>
    <w:p w:rsidR="00E6295D" w:rsidRPr="005816E1" w:rsidRDefault="00E6295D" w:rsidP="00282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а) в </w:t>
      </w:r>
      <w:r w:rsidRPr="005816E1">
        <w:rPr>
          <w:rFonts w:ascii="Times New Roman" w:eastAsia="Times New Roman" w:hAnsi="Times New Roman" w:cs="Times New Roman"/>
          <w:b/>
          <w:sz w:val="24"/>
          <w:szCs w:val="24"/>
        </w:rPr>
        <w:t>электроэнергетическом комплексе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="009F47F9" w:rsidRPr="005816E1">
        <w:rPr>
          <w:rFonts w:ascii="Times New Roman" w:eastAsia="Times New Roman" w:hAnsi="Times New Roman" w:cs="Times New Roman"/>
          <w:sz w:val="24"/>
          <w:szCs w:val="24"/>
        </w:rPr>
        <w:t>разновекторной</w:t>
      </w:r>
      <w:proofErr w:type="spellEnd"/>
      <w:r w:rsidR="009F47F9" w:rsidRPr="005816E1">
        <w:rPr>
          <w:rFonts w:ascii="Times New Roman" w:eastAsia="Times New Roman" w:hAnsi="Times New Roman" w:cs="Times New Roman"/>
          <w:sz w:val="24"/>
          <w:szCs w:val="24"/>
        </w:rPr>
        <w:t xml:space="preserve"> динамики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52D" w:rsidRPr="005816E1">
        <w:rPr>
          <w:rFonts w:ascii="Times New Roman" w:eastAsia="Times New Roman" w:hAnsi="Times New Roman" w:cs="Times New Roman"/>
          <w:sz w:val="24"/>
          <w:szCs w:val="24"/>
        </w:rPr>
        <w:t>спроса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52D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C1F44" w:rsidRPr="005816E1">
        <w:rPr>
          <w:rFonts w:ascii="Times New Roman" w:eastAsia="Times New Roman" w:hAnsi="Times New Roman" w:cs="Times New Roman"/>
          <w:sz w:val="24"/>
          <w:szCs w:val="24"/>
        </w:rPr>
        <w:t>сгенерированную электроэнергию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 xml:space="preserve"> со стороны ключевых потребителей, как на внешн</w:t>
      </w:r>
      <w:r w:rsidR="00EE418E" w:rsidRPr="005816E1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>, так и на внутренн</w:t>
      </w:r>
      <w:r w:rsidR="00EE418E" w:rsidRPr="005816E1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 xml:space="preserve"> рынк</w:t>
      </w:r>
      <w:r w:rsidR="00EE418E" w:rsidRPr="005816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6369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в 2016 год</w:t>
      </w:r>
      <w:r w:rsidR="00BE7610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отмечается снижение выработки электроэнергии в натуральном выражении в целом по отрасли </w:t>
      </w:r>
      <w:r w:rsidR="00E3119E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2015 годом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7610" w:rsidRPr="005816E1">
        <w:rPr>
          <w:rFonts w:ascii="Times New Roman" w:eastAsia="Times New Roman" w:hAnsi="Times New Roman" w:cs="Times New Roman"/>
          <w:sz w:val="24"/>
          <w:szCs w:val="24"/>
        </w:rPr>
        <w:t>35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E7610" w:rsidRPr="005816E1">
        <w:rPr>
          <w:rFonts w:ascii="Times New Roman" w:eastAsia="Times New Roman" w:hAnsi="Times New Roman" w:cs="Times New Roman"/>
          <w:sz w:val="24"/>
          <w:szCs w:val="24"/>
        </w:rPr>
        <w:t>366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 xml:space="preserve"> тыс. кВт/ч («-»</w:t>
      </w:r>
      <w:r w:rsidR="00E3119E" w:rsidRPr="005816E1">
        <w:rPr>
          <w:rFonts w:ascii="Times New Roman" w:eastAsia="Times New Roman" w:hAnsi="Times New Roman" w:cs="Times New Roman"/>
          <w:sz w:val="24"/>
          <w:szCs w:val="24"/>
        </w:rPr>
        <w:t>2,7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222865" w:rsidRPr="005816E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18E" w:rsidRPr="005816E1">
        <w:rPr>
          <w:rFonts w:ascii="Times New Roman" w:eastAsia="Times New Roman" w:hAnsi="Times New Roman" w:cs="Times New Roman"/>
          <w:sz w:val="24"/>
          <w:szCs w:val="24"/>
        </w:rPr>
        <w:t xml:space="preserve">что обусловило снижение </w:t>
      </w:r>
      <w:r w:rsidR="006769F4" w:rsidRPr="005816E1">
        <w:rPr>
          <w:rFonts w:ascii="Times New Roman" w:eastAsia="Times New Roman" w:hAnsi="Times New Roman" w:cs="Times New Roman"/>
          <w:sz w:val="24"/>
          <w:szCs w:val="24"/>
        </w:rPr>
        <w:t>товарн</w:t>
      </w:r>
      <w:r w:rsidR="00EE418E" w:rsidRPr="005816E1">
        <w:rPr>
          <w:rFonts w:ascii="Times New Roman" w:eastAsia="Times New Roman" w:hAnsi="Times New Roman" w:cs="Times New Roman"/>
          <w:sz w:val="24"/>
          <w:szCs w:val="24"/>
        </w:rPr>
        <w:t xml:space="preserve">ого выпуска в электроэнергетическом комплексе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стоимостном </w:t>
      </w: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proofErr w:type="gramEnd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F47F9" w:rsidRPr="005816E1">
        <w:rPr>
          <w:rFonts w:ascii="Times New Roman" w:eastAsia="Times New Roman" w:hAnsi="Times New Roman" w:cs="Times New Roman"/>
          <w:sz w:val="24"/>
          <w:szCs w:val="24"/>
        </w:rPr>
        <w:t>2,</w:t>
      </w:r>
      <w:r w:rsidR="00E3119E" w:rsidRPr="005816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995C97" w:rsidRPr="00581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027B" w:rsidRPr="005816E1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995C97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EFC" w:rsidRPr="005816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3119E" w:rsidRPr="005816E1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995C97" w:rsidRPr="005816E1">
        <w:rPr>
          <w:rFonts w:ascii="Times New Roman" w:eastAsia="Times New Roman" w:hAnsi="Times New Roman" w:cs="Times New Roman"/>
          <w:sz w:val="24"/>
          <w:szCs w:val="24"/>
        </w:rPr>
        <w:t xml:space="preserve">бре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2016 года </w:t>
      </w:r>
      <w:r w:rsidR="009C306B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 отношению к </w:t>
      </w:r>
      <w:r w:rsidR="00E3119E" w:rsidRPr="005816E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9027B" w:rsidRPr="005816E1">
        <w:rPr>
          <w:rFonts w:ascii="Times New Roman" w:eastAsia="Times New Roman" w:hAnsi="Times New Roman" w:cs="Times New Roman"/>
          <w:sz w:val="24"/>
          <w:szCs w:val="24"/>
        </w:rPr>
        <w:t xml:space="preserve">ябрю текущего года, </w:t>
      </w:r>
      <w:r w:rsidR="00A32D66" w:rsidRPr="005816E1">
        <w:rPr>
          <w:rFonts w:ascii="Times New Roman" w:eastAsia="Times New Roman" w:hAnsi="Times New Roman" w:cs="Times New Roman"/>
          <w:sz w:val="24"/>
          <w:szCs w:val="24"/>
        </w:rPr>
        <w:t>учитывая динамику цен на рынке электроэнергети</w:t>
      </w:r>
      <w:r w:rsidR="00E3119E" w:rsidRPr="005816E1">
        <w:rPr>
          <w:rFonts w:ascii="Times New Roman" w:eastAsia="Times New Roman" w:hAnsi="Times New Roman" w:cs="Times New Roman"/>
          <w:sz w:val="24"/>
          <w:szCs w:val="24"/>
        </w:rPr>
        <w:t>ки,</w:t>
      </w:r>
      <w:r w:rsidR="00A32D66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27B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фоне </w:t>
      </w:r>
      <w:r w:rsidR="00CA7EE4" w:rsidRPr="005816E1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="0069027B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выработки электроэнергии в натуральном выражении на </w:t>
      </w:r>
      <w:r w:rsidR="00CA7EE4" w:rsidRPr="005816E1">
        <w:rPr>
          <w:rFonts w:ascii="Times New Roman" w:eastAsia="Times New Roman" w:hAnsi="Times New Roman" w:cs="Times New Roman"/>
          <w:sz w:val="24"/>
          <w:szCs w:val="24"/>
        </w:rPr>
        <w:t>2,6</w:t>
      </w:r>
      <w:r w:rsidR="0069027B" w:rsidRPr="005816E1">
        <w:rPr>
          <w:rFonts w:ascii="Times New Roman" w:eastAsia="Times New Roman" w:hAnsi="Times New Roman" w:cs="Times New Roman"/>
          <w:sz w:val="24"/>
          <w:szCs w:val="24"/>
        </w:rPr>
        <w:t xml:space="preserve">% отмечается прирост </w:t>
      </w:r>
      <w:r w:rsidR="00995C97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показателя </w:t>
      </w:r>
      <w:r w:rsidR="00CA7EE4" w:rsidRPr="005816E1">
        <w:rPr>
          <w:rFonts w:ascii="Times New Roman" w:eastAsia="Times New Roman" w:hAnsi="Times New Roman" w:cs="Times New Roman"/>
          <w:sz w:val="24"/>
          <w:szCs w:val="24"/>
        </w:rPr>
        <w:t>в стоимостном выражении на</w:t>
      </w:r>
      <w:r w:rsidR="0069027B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EE4" w:rsidRPr="005816E1">
        <w:rPr>
          <w:rFonts w:ascii="Times New Roman" w:eastAsia="Times New Roman" w:hAnsi="Times New Roman" w:cs="Times New Roman"/>
          <w:sz w:val="24"/>
          <w:szCs w:val="24"/>
        </w:rPr>
        <w:t>5,5</w:t>
      </w:r>
      <w:r w:rsidR="009C306B"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95D" w:rsidRPr="005816E1" w:rsidRDefault="00E6295D" w:rsidP="00282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6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4575" cy="1504950"/>
            <wp:effectExtent l="19050" t="0" r="0" b="0"/>
            <wp:docPr id="1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16D9" w:rsidRPr="005816E1" w:rsidRDefault="004616D9" w:rsidP="00282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б) в </w:t>
      </w:r>
      <w:r w:rsidRPr="005816E1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черной металлургии </w:t>
      </w:r>
      <w:r w:rsidR="00951371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фоне </w:t>
      </w:r>
      <w:r w:rsidR="009E64E1" w:rsidRPr="005816E1">
        <w:rPr>
          <w:rFonts w:ascii="Times New Roman" w:hAnsi="Times New Roman"/>
          <w:sz w:val="24"/>
          <w:szCs w:val="24"/>
        </w:rPr>
        <w:t xml:space="preserve">снижения производства проката черных металлов на </w:t>
      </w:r>
      <w:r w:rsidR="00CA7EE4" w:rsidRPr="005816E1">
        <w:rPr>
          <w:rFonts w:ascii="Times New Roman" w:hAnsi="Times New Roman"/>
          <w:sz w:val="24"/>
          <w:szCs w:val="24"/>
        </w:rPr>
        <w:t>30</w:t>
      </w:r>
      <w:r w:rsidR="009F47F9" w:rsidRPr="005816E1">
        <w:rPr>
          <w:rFonts w:ascii="Times New Roman" w:hAnsi="Times New Roman"/>
          <w:sz w:val="24"/>
          <w:szCs w:val="24"/>
        </w:rPr>
        <w:t xml:space="preserve">,2% и стали на </w:t>
      </w:r>
      <w:r w:rsidR="00CA7EE4" w:rsidRPr="005816E1">
        <w:rPr>
          <w:rFonts w:ascii="Times New Roman" w:hAnsi="Times New Roman"/>
          <w:sz w:val="24"/>
          <w:szCs w:val="24"/>
        </w:rPr>
        <w:t>70,3</w:t>
      </w:r>
      <w:r w:rsidR="009E64E1" w:rsidRPr="005816E1">
        <w:rPr>
          <w:rFonts w:ascii="Times New Roman" w:hAnsi="Times New Roman"/>
          <w:sz w:val="24"/>
          <w:szCs w:val="24"/>
        </w:rPr>
        <w:t>%</w:t>
      </w:r>
      <w:r w:rsidR="00DC415F" w:rsidRPr="005816E1">
        <w:rPr>
          <w:rFonts w:ascii="Times New Roman" w:eastAsia="Times New Roman" w:hAnsi="Times New Roman" w:cs="Times New Roman"/>
          <w:sz w:val="24"/>
          <w:szCs w:val="24"/>
        </w:rPr>
        <w:t xml:space="preserve">, а также влияния </w:t>
      </w:r>
      <w:r w:rsidR="009F47F9" w:rsidRPr="005816E1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="009E64E1" w:rsidRPr="005816E1">
        <w:rPr>
          <w:rFonts w:ascii="Times New Roman" w:eastAsia="Times New Roman" w:hAnsi="Times New Roman" w:cs="Times New Roman"/>
          <w:sz w:val="24"/>
          <w:szCs w:val="24"/>
        </w:rPr>
        <w:t>стоимости сырья</w:t>
      </w:r>
      <w:r w:rsidR="00951371" w:rsidRPr="00581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16E1">
        <w:rPr>
          <w:rFonts w:ascii="Times New Roman" w:hAnsi="Times New Roman"/>
          <w:sz w:val="24"/>
          <w:szCs w:val="24"/>
        </w:rPr>
        <w:t xml:space="preserve">объем промышленного производства </w:t>
      </w:r>
      <w:r w:rsidR="00CF1D2F" w:rsidRPr="005816E1">
        <w:rPr>
          <w:rFonts w:ascii="Times New Roman" w:hAnsi="Times New Roman"/>
          <w:sz w:val="24"/>
          <w:szCs w:val="24"/>
        </w:rPr>
        <w:t xml:space="preserve">в </w:t>
      </w:r>
      <w:r w:rsidR="00951371" w:rsidRPr="005816E1">
        <w:rPr>
          <w:rFonts w:ascii="Times New Roman" w:hAnsi="Times New Roman"/>
          <w:sz w:val="24"/>
          <w:szCs w:val="24"/>
        </w:rPr>
        <w:t xml:space="preserve">стоимостном выражении </w:t>
      </w:r>
      <w:r w:rsidRPr="005816E1">
        <w:rPr>
          <w:rFonts w:ascii="Times New Roman" w:hAnsi="Times New Roman"/>
          <w:sz w:val="24"/>
          <w:szCs w:val="24"/>
        </w:rPr>
        <w:t xml:space="preserve">в рассматриваемом периоде </w:t>
      </w:r>
      <w:r w:rsidR="00951371" w:rsidRPr="005816E1">
        <w:rPr>
          <w:rFonts w:ascii="Times New Roman" w:hAnsi="Times New Roman"/>
          <w:sz w:val="24"/>
          <w:szCs w:val="24"/>
        </w:rPr>
        <w:t>сократ</w:t>
      </w:r>
      <w:r w:rsidRPr="005816E1">
        <w:rPr>
          <w:rFonts w:ascii="Times New Roman" w:hAnsi="Times New Roman"/>
          <w:sz w:val="24"/>
          <w:szCs w:val="24"/>
        </w:rPr>
        <w:t xml:space="preserve">ился по отношению к показателю </w:t>
      </w:r>
      <w:r w:rsidRPr="005816E1">
        <w:rPr>
          <w:rFonts w:ascii="Times New Roman" w:hAnsi="Times New Roman" w:cs="Times New Roman"/>
          <w:sz w:val="24"/>
          <w:szCs w:val="24"/>
        </w:rPr>
        <w:t xml:space="preserve">2015 года на </w:t>
      </w:r>
      <w:r w:rsidR="00A46D37" w:rsidRPr="005816E1">
        <w:rPr>
          <w:rFonts w:ascii="Times New Roman" w:hAnsi="Times New Roman" w:cs="Times New Roman"/>
          <w:sz w:val="24"/>
          <w:szCs w:val="24"/>
        </w:rPr>
        <w:t>29,4</w:t>
      </w:r>
      <w:r w:rsidRPr="005816E1">
        <w:rPr>
          <w:rFonts w:ascii="Times New Roman" w:hAnsi="Times New Roman" w:cs="Times New Roman"/>
          <w:sz w:val="24"/>
          <w:szCs w:val="24"/>
        </w:rPr>
        <w:t>% (в сопоставимых ценах) до 1</w:t>
      </w:r>
      <w:r w:rsidR="00A46D37" w:rsidRPr="005816E1">
        <w:rPr>
          <w:rFonts w:ascii="Times New Roman" w:hAnsi="Times New Roman" w:cs="Times New Roman"/>
          <w:sz w:val="24"/>
          <w:szCs w:val="24"/>
        </w:rPr>
        <w:t> 550,4</w:t>
      </w:r>
      <w:r w:rsidRPr="005816E1">
        <w:rPr>
          <w:rFonts w:ascii="Times New Roman" w:hAnsi="Times New Roman" w:cs="Times New Roman"/>
          <w:sz w:val="24"/>
          <w:szCs w:val="24"/>
        </w:rPr>
        <w:t xml:space="preserve"> млн. руб., </w:t>
      </w:r>
      <w:r w:rsidR="009E64E1" w:rsidRPr="005816E1">
        <w:rPr>
          <w:rFonts w:ascii="Times New Roman" w:hAnsi="Times New Roman" w:cs="Times New Roman"/>
          <w:sz w:val="24"/>
          <w:szCs w:val="24"/>
        </w:rPr>
        <w:t>при этом</w:t>
      </w:r>
      <w:r w:rsidRPr="005816E1">
        <w:rPr>
          <w:rFonts w:ascii="Times New Roman" w:hAnsi="Times New Roman" w:cs="Times New Roman"/>
          <w:sz w:val="24"/>
          <w:szCs w:val="24"/>
        </w:rPr>
        <w:t xml:space="preserve"> учитывая </w:t>
      </w:r>
      <w:r w:rsidR="00160485" w:rsidRPr="005816E1">
        <w:rPr>
          <w:rFonts w:ascii="Times New Roman" w:hAnsi="Times New Roman" w:cs="Times New Roman"/>
          <w:sz w:val="24"/>
          <w:szCs w:val="24"/>
        </w:rPr>
        <w:t>отрицательную динамику</w:t>
      </w:r>
      <w:r w:rsidRPr="005816E1">
        <w:rPr>
          <w:rFonts w:ascii="Times New Roman" w:hAnsi="Times New Roman" w:cs="Times New Roman"/>
          <w:sz w:val="24"/>
          <w:szCs w:val="24"/>
        </w:rPr>
        <w:t xml:space="preserve"> отпускных цен, выпуск продукции отрасли в</w:t>
      </w:r>
      <w:proofErr w:type="gramEnd"/>
      <w:r w:rsidRPr="005816E1">
        <w:rPr>
          <w:rFonts w:ascii="Times New Roman" w:hAnsi="Times New Roman" w:cs="Times New Roman"/>
          <w:sz w:val="24"/>
          <w:szCs w:val="24"/>
        </w:rPr>
        <w:t xml:space="preserve"> текущих </w:t>
      </w:r>
      <w:proofErr w:type="gramStart"/>
      <w:r w:rsidRPr="005816E1">
        <w:rPr>
          <w:rFonts w:ascii="Times New Roman" w:hAnsi="Times New Roman" w:cs="Times New Roman"/>
          <w:sz w:val="24"/>
          <w:szCs w:val="24"/>
        </w:rPr>
        <w:t>ценах</w:t>
      </w:r>
      <w:proofErr w:type="gramEnd"/>
      <w:r w:rsidR="009E64E1" w:rsidRPr="005816E1">
        <w:rPr>
          <w:rFonts w:ascii="Times New Roman" w:hAnsi="Times New Roman" w:cs="Times New Roman"/>
          <w:sz w:val="24"/>
          <w:szCs w:val="24"/>
        </w:rPr>
        <w:t xml:space="preserve"> демонстрирует еще более </w:t>
      </w:r>
      <w:r w:rsidR="00483DF6" w:rsidRPr="005816E1">
        <w:rPr>
          <w:rFonts w:ascii="Times New Roman" w:hAnsi="Times New Roman" w:cs="Times New Roman"/>
          <w:sz w:val="24"/>
          <w:szCs w:val="24"/>
        </w:rPr>
        <w:t>существенное</w:t>
      </w:r>
      <w:r w:rsidR="009E64E1" w:rsidRPr="005816E1">
        <w:rPr>
          <w:rFonts w:ascii="Times New Roman" w:hAnsi="Times New Roman" w:cs="Times New Roman"/>
          <w:sz w:val="24"/>
          <w:szCs w:val="24"/>
        </w:rPr>
        <w:t xml:space="preserve"> снижение</w:t>
      </w:r>
      <w:r w:rsidRPr="005816E1">
        <w:rPr>
          <w:rFonts w:ascii="Times New Roman" w:hAnsi="Times New Roman"/>
          <w:sz w:val="24"/>
          <w:szCs w:val="24"/>
        </w:rPr>
        <w:t xml:space="preserve"> </w:t>
      </w:r>
      <w:r w:rsidR="00A46D37" w:rsidRPr="005816E1">
        <w:rPr>
          <w:rFonts w:ascii="Times New Roman" w:hAnsi="Times New Roman"/>
          <w:sz w:val="24"/>
          <w:szCs w:val="24"/>
        </w:rPr>
        <w:t xml:space="preserve"> </w:t>
      </w:r>
      <w:r w:rsidR="009E64E1" w:rsidRPr="005816E1">
        <w:rPr>
          <w:rFonts w:ascii="Times New Roman" w:hAnsi="Times New Roman"/>
          <w:sz w:val="24"/>
          <w:szCs w:val="24"/>
        </w:rPr>
        <w:t>(</w:t>
      </w:r>
      <w:r w:rsidR="009F5988" w:rsidRPr="005816E1">
        <w:rPr>
          <w:rFonts w:ascii="Times New Roman" w:hAnsi="Times New Roman"/>
          <w:sz w:val="24"/>
          <w:szCs w:val="24"/>
        </w:rPr>
        <w:t>«-»</w:t>
      </w:r>
      <w:r w:rsidR="00FD5BBF" w:rsidRPr="005816E1">
        <w:rPr>
          <w:rFonts w:ascii="Times New Roman" w:hAnsi="Times New Roman"/>
          <w:sz w:val="24"/>
          <w:szCs w:val="24"/>
        </w:rPr>
        <w:t>3</w:t>
      </w:r>
      <w:r w:rsidR="009F47F9" w:rsidRPr="005816E1">
        <w:rPr>
          <w:rFonts w:ascii="Times New Roman" w:hAnsi="Times New Roman"/>
          <w:sz w:val="24"/>
          <w:szCs w:val="24"/>
        </w:rPr>
        <w:t>8</w:t>
      </w:r>
      <w:r w:rsidR="00FD5BBF" w:rsidRPr="005816E1">
        <w:rPr>
          <w:rFonts w:ascii="Times New Roman" w:hAnsi="Times New Roman"/>
          <w:sz w:val="24"/>
          <w:szCs w:val="24"/>
        </w:rPr>
        <w:t>,</w:t>
      </w:r>
      <w:r w:rsidR="00A46D37" w:rsidRPr="005816E1">
        <w:rPr>
          <w:rFonts w:ascii="Times New Roman" w:hAnsi="Times New Roman"/>
          <w:sz w:val="24"/>
          <w:szCs w:val="24"/>
        </w:rPr>
        <w:t>7</w:t>
      </w:r>
      <w:r w:rsidRPr="005816E1">
        <w:rPr>
          <w:rFonts w:ascii="Times New Roman" w:hAnsi="Times New Roman"/>
          <w:sz w:val="24"/>
          <w:szCs w:val="24"/>
        </w:rPr>
        <w:t>%</w:t>
      </w:r>
      <w:r w:rsidR="009E64E1" w:rsidRPr="005816E1">
        <w:rPr>
          <w:rFonts w:ascii="Times New Roman" w:hAnsi="Times New Roman"/>
          <w:sz w:val="24"/>
          <w:szCs w:val="24"/>
        </w:rPr>
        <w:t>)</w:t>
      </w:r>
      <w:r w:rsidRPr="005816E1">
        <w:rPr>
          <w:rFonts w:ascii="Times New Roman" w:hAnsi="Times New Roman"/>
          <w:sz w:val="24"/>
          <w:szCs w:val="24"/>
        </w:rPr>
        <w:t xml:space="preserve">. </w:t>
      </w:r>
      <w:r w:rsidR="00FD5BBF" w:rsidRPr="005816E1">
        <w:rPr>
          <w:rFonts w:ascii="Times New Roman" w:hAnsi="Times New Roman"/>
          <w:sz w:val="24"/>
          <w:szCs w:val="24"/>
        </w:rPr>
        <w:t>Также следует отметить, что ввиду</w:t>
      </w:r>
      <w:r w:rsidR="00B92921" w:rsidRPr="005816E1">
        <w:rPr>
          <w:rFonts w:ascii="Times New Roman" w:hAnsi="Times New Roman"/>
          <w:sz w:val="24"/>
          <w:szCs w:val="24"/>
        </w:rPr>
        <w:t xml:space="preserve"> н</w:t>
      </w:r>
      <w:r w:rsidR="00FD5BBF" w:rsidRPr="005816E1">
        <w:rPr>
          <w:rFonts w:ascii="Times New Roman" w:hAnsi="Times New Roman"/>
          <w:sz w:val="24"/>
          <w:szCs w:val="24"/>
        </w:rPr>
        <w:t>естабильной</w:t>
      </w:r>
      <w:r w:rsidRPr="005816E1">
        <w:rPr>
          <w:rFonts w:ascii="Times New Roman" w:hAnsi="Times New Roman"/>
          <w:sz w:val="24"/>
          <w:szCs w:val="24"/>
        </w:rPr>
        <w:t xml:space="preserve"> работ</w:t>
      </w:r>
      <w:r w:rsidR="00FD5BBF" w:rsidRPr="005816E1">
        <w:rPr>
          <w:rFonts w:ascii="Times New Roman" w:hAnsi="Times New Roman"/>
          <w:sz w:val="24"/>
          <w:szCs w:val="24"/>
        </w:rPr>
        <w:t>ы</w:t>
      </w:r>
      <w:r w:rsidR="00E25320" w:rsidRPr="005816E1">
        <w:rPr>
          <w:rFonts w:ascii="Times New Roman" w:hAnsi="Times New Roman"/>
          <w:sz w:val="24"/>
          <w:szCs w:val="24"/>
        </w:rPr>
        <w:t xml:space="preserve"> </w:t>
      </w:r>
      <w:r w:rsidRPr="005816E1">
        <w:rPr>
          <w:rFonts w:ascii="Times New Roman" w:hAnsi="Times New Roman"/>
          <w:sz w:val="24"/>
          <w:szCs w:val="24"/>
        </w:rPr>
        <w:t>ОАО «Молд</w:t>
      </w:r>
      <w:r w:rsidR="00C705C7" w:rsidRPr="005816E1">
        <w:rPr>
          <w:rFonts w:ascii="Times New Roman" w:hAnsi="Times New Roman"/>
          <w:sz w:val="24"/>
          <w:szCs w:val="24"/>
        </w:rPr>
        <w:t xml:space="preserve">авский металлургический завод» </w:t>
      </w:r>
      <w:r w:rsidR="00FD5BBF" w:rsidRPr="005816E1">
        <w:rPr>
          <w:rFonts w:ascii="Times New Roman" w:hAnsi="Times New Roman"/>
          <w:sz w:val="24"/>
          <w:szCs w:val="24"/>
        </w:rPr>
        <w:t xml:space="preserve">в </w:t>
      </w:r>
      <w:r w:rsidR="00A46D37" w:rsidRPr="005816E1">
        <w:rPr>
          <w:rFonts w:ascii="Times New Roman" w:hAnsi="Times New Roman"/>
          <w:sz w:val="24"/>
          <w:szCs w:val="24"/>
        </w:rPr>
        <w:t>дека</w:t>
      </w:r>
      <w:r w:rsidR="00FD5BBF" w:rsidRPr="005816E1">
        <w:rPr>
          <w:rFonts w:ascii="Times New Roman" w:hAnsi="Times New Roman"/>
          <w:sz w:val="24"/>
          <w:szCs w:val="24"/>
        </w:rPr>
        <w:t>бре 2016 года</w:t>
      </w:r>
      <w:r w:rsidRPr="005816E1">
        <w:rPr>
          <w:rFonts w:ascii="Times New Roman" w:hAnsi="Times New Roman"/>
          <w:sz w:val="24"/>
          <w:szCs w:val="24"/>
        </w:rPr>
        <w:t xml:space="preserve"> </w:t>
      </w:r>
      <w:r w:rsidR="00FD5BBF" w:rsidRPr="005816E1">
        <w:rPr>
          <w:rFonts w:ascii="Times New Roman" w:hAnsi="Times New Roman"/>
          <w:sz w:val="24"/>
          <w:szCs w:val="24"/>
        </w:rPr>
        <w:t xml:space="preserve">по отношению к </w:t>
      </w:r>
      <w:r w:rsidR="00A46D37" w:rsidRPr="005816E1">
        <w:rPr>
          <w:rFonts w:ascii="Times New Roman" w:hAnsi="Times New Roman"/>
          <w:sz w:val="24"/>
          <w:szCs w:val="24"/>
        </w:rPr>
        <w:t>но</w:t>
      </w:r>
      <w:r w:rsidR="00352E74" w:rsidRPr="005816E1">
        <w:rPr>
          <w:rFonts w:ascii="Times New Roman" w:hAnsi="Times New Roman"/>
          <w:sz w:val="24"/>
          <w:szCs w:val="24"/>
        </w:rPr>
        <w:t>ябрю</w:t>
      </w:r>
      <w:r w:rsidR="00FD5BBF" w:rsidRPr="005816E1">
        <w:rPr>
          <w:rFonts w:ascii="Times New Roman" w:hAnsi="Times New Roman"/>
          <w:sz w:val="24"/>
          <w:szCs w:val="24"/>
        </w:rPr>
        <w:t xml:space="preserve"> текущего года </w:t>
      </w:r>
      <w:r w:rsidR="00B92921" w:rsidRPr="005816E1">
        <w:rPr>
          <w:rFonts w:ascii="Times New Roman" w:hAnsi="Times New Roman"/>
          <w:sz w:val="24"/>
          <w:szCs w:val="24"/>
        </w:rPr>
        <w:t>товарн</w:t>
      </w:r>
      <w:r w:rsidR="009F47F9" w:rsidRPr="005816E1">
        <w:rPr>
          <w:rFonts w:ascii="Times New Roman" w:hAnsi="Times New Roman"/>
          <w:sz w:val="24"/>
          <w:szCs w:val="24"/>
        </w:rPr>
        <w:t>ый</w:t>
      </w:r>
      <w:r w:rsidR="00B92921" w:rsidRPr="005816E1">
        <w:rPr>
          <w:rFonts w:ascii="Times New Roman" w:hAnsi="Times New Roman"/>
          <w:sz w:val="24"/>
          <w:szCs w:val="24"/>
        </w:rPr>
        <w:t xml:space="preserve"> выпуск </w:t>
      </w:r>
      <w:r w:rsidRPr="005816E1">
        <w:rPr>
          <w:rFonts w:ascii="Times New Roman" w:hAnsi="Times New Roman"/>
          <w:sz w:val="24"/>
          <w:szCs w:val="24"/>
        </w:rPr>
        <w:t xml:space="preserve">отрасли </w:t>
      </w:r>
      <w:r w:rsidR="00A46D37" w:rsidRPr="005816E1">
        <w:rPr>
          <w:rFonts w:ascii="Times New Roman" w:hAnsi="Times New Roman"/>
          <w:sz w:val="24"/>
          <w:szCs w:val="24"/>
        </w:rPr>
        <w:t>сократился на</w:t>
      </w:r>
      <w:r w:rsidR="009F47F9" w:rsidRPr="005816E1">
        <w:rPr>
          <w:rFonts w:ascii="Times New Roman" w:hAnsi="Times New Roman"/>
          <w:sz w:val="24"/>
          <w:szCs w:val="24"/>
        </w:rPr>
        <w:t xml:space="preserve"> </w:t>
      </w:r>
      <w:r w:rsidR="00A46D37" w:rsidRPr="005816E1">
        <w:rPr>
          <w:rFonts w:ascii="Times New Roman" w:hAnsi="Times New Roman"/>
          <w:sz w:val="24"/>
          <w:szCs w:val="24"/>
        </w:rPr>
        <w:t>25,6%</w:t>
      </w:r>
      <w:r w:rsidR="009F47F9" w:rsidRPr="005816E1">
        <w:rPr>
          <w:rFonts w:ascii="Times New Roman" w:hAnsi="Times New Roman"/>
          <w:sz w:val="24"/>
          <w:szCs w:val="24"/>
        </w:rPr>
        <w:t>.</w:t>
      </w:r>
    </w:p>
    <w:p w:rsidR="00E6295D" w:rsidRPr="005816E1" w:rsidRDefault="00612D8A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6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) в</w:t>
      </w:r>
      <w:r w:rsidR="00E6295D" w:rsidRPr="005816E1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электротехнической промышленности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 xml:space="preserve">прирост товарного выпуска в сопоставимой оценке на </w:t>
      </w:r>
      <w:r w:rsidR="005400AA" w:rsidRPr="005816E1">
        <w:rPr>
          <w:rFonts w:ascii="Times New Roman" w:eastAsia="Times New Roman" w:hAnsi="Times New Roman" w:cs="Times New Roman"/>
          <w:sz w:val="24"/>
          <w:szCs w:val="24"/>
        </w:rPr>
        <w:t>11,9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>% на НП ЗАО «</w:t>
      </w:r>
      <w:proofErr w:type="spellStart"/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>Электромаш</w:t>
      </w:r>
      <w:proofErr w:type="spellEnd"/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31827" w:rsidRPr="005816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3341A3" w:rsidRPr="005816E1">
        <w:rPr>
          <w:rFonts w:ascii="Times New Roman" w:eastAsia="Times New Roman" w:hAnsi="Times New Roman" w:cs="Times New Roman"/>
          <w:sz w:val="24"/>
          <w:szCs w:val="24"/>
        </w:rPr>
        <w:t>9</w:t>
      </w:r>
      <w:r w:rsidR="00531827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12C3" w:rsidRPr="005816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>% отраслевого выпуска) по отношению к 2015 год</w:t>
      </w:r>
      <w:r w:rsidR="005400AA" w:rsidRPr="005816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 со снижение</w:t>
      </w:r>
      <w:r w:rsidR="008A501A" w:rsidRPr="005816E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объем</w:t>
      </w:r>
      <w:r w:rsidR="008A501A" w:rsidRPr="005816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на </w:t>
      </w:r>
      <w:r w:rsidR="005400AA" w:rsidRPr="005816E1">
        <w:rPr>
          <w:rFonts w:ascii="Times New Roman" w:eastAsia="Times New Roman" w:hAnsi="Times New Roman" w:cs="Times New Roman"/>
          <w:sz w:val="24"/>
          <w:szCs w:val="24"/>
        </w:rPr>
        <w:t>45,7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>%, на втором ведущем предприятии отрасли ЗАО «</w:t>
      </w:r>
      <w:proofErr w:type="spellStart"/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>Молдавкабель</w:t>
      </w:r>
      <w:proofErr w:type="spellEnd"/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01EAB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41A3" w:rsidRPr="005816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D01EAB" w:rsidRPr="005816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00AA" w:rsidRPr="00581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 xml:space="preserve">% отраслевого выпуска) 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по итогам 2016 года </w:t>
      </w:r>
      <w:r w:rsidR="00D01EAB" w:rsidRPr="005816E1">
        <w:rPr>
          <w:rFonts w:ascii="Times New Roman" w:eastAsia="Times New Roman" w:hAnsi="Times New Roman" w:cs="Times New Roman"/>
          <w:sz w:val="24"/>
          <w:szCs w:val="24"/>
        </w:rPr>
        <w:t>обусловил снижение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отраслевого выпуска</w:t>
      </w:r>
      <w:r w:rsidR="006B2DA7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EAB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400AA" w:rsidRPr="005816E1">
        <w:rPr>
          <w:rFonts w:ascii="Times New Roman" w:eastAsia="Times New Roman" w:hAnsi="Times New Roman" w:cs="Times New Roman"/>
          <w:sz w:val="24"/>
          <w:szCs w:val="24"/>
        </w:rPr>
        <w:t>14,1</w:t>
      </w:r>
      <w:r w:rsidR="00FA4692" w:rsidRPr="005816E1">
        <w:rPr>
          <w:rFonts w:ascii="Times New Roman" w:eastAsia="Times New Roman" w:hAnsi="Times New Roman" w:cs="Times New Roman"/>
          <w:sz w:val="24"/>
          <w:szCs w:val="24"/>
        </w:rPr>
        <w:t>%</w:t>
      </w:r>
      <w:r w:rsidR="005400AA"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F6CED" w:rsidRPr="005816E1" w:rsidRDefault="00612D8A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E6295D" w:rsidRPr="005816E1">
        <w:rPr>
          <w:rFonts w:ascii="Times New Roman" w:eastAsia="Times New Roman" w:hAnsi="Times New Roman" w:cs="Times New Roman"/>
          <w:b/>
          <w:sz w:val="24"/>
          <w:szCs w:val="24"/>
        </w:rPr>
        <w:t>мукомольно-крупяной и комбикормовой промышленности</w:t>
      </w:r>
      <w:r w:rsidR="007A3CF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CED" w:rsidRPr="005816E1">
        <w:rPr>
          <w:rFonts w:ascii="Times New Roman" w:eastAsia="Times New Roman" w:hAnsi="Times New Roman" w:cs="Times New Roman"/>
          <w:sz w:val="24"/>
          <w:szCs w:val="24"/>
        </w:rPr>
        <w:t>в рассматриваемом периоде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отмечается снижение выпуска готовой продукции в сопоставимых ценах на </w:t>
      </w:r>
      <w:r w:rsidR="00F65B1D" w:rsidRPr="005816E1">
        <w:rPr>
          <w:rFonts w:ascii="Times New Roman" w:eastAsia="Times New Roman" w:hAnsi="Times New Roman" w:cs="Times New Roman"/>
          <w:sz w:val="24"/>
          <w:szCs w:val="24"/>
        </w:rPr>
        <w:t>14,3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%, что вызвано в основном сокращением объемов производства на</w:t>
      </w:r>
      <w:r w:rsidR="00DF6CED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60A" w:rsidRPr="005816E1">
        <w:rPr>
          <w:rFonts w:ascii="Times New Roman" w:eastAsia="Times New Roman" w:hAnsi="Times New Roman" w:cs="Times New Roman"/>
          <w:sz w:val="24"/>
          <w:szCs w:val="24"/>
        </w:rPr>
        <w:t>предприятиях отрасли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 xml:space="preserve"> ввиду </w:t>
      </w:r>
      <w:r w:rsidR="00E6295D" w:rsidRPr="005816E1">
        <w:rPr>
          <w:rFonts w:ascii="Times New Roman" w:hAnsi="Times New Roman"/>
          <w:sz w:val="24"/>
          <w:szCs w:val="24"/>
        </w:rPr>
        <w:t>конкуренции на отраслевом рынке, из-за импорта товаров по более низким ценам из сопредельных государств</w:t>
      </w:r>
      <w:r w:rsidR="00E6295D"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4B31" w:rsidRPr="005816E1">
        <w:rPr>
          <w:rFonts w:ascii="Times New Roman" w:eastAsia="Times New Roman" w:hAnsi="Times New Roman" w:cs="Times New Roman"/>
          <w:sz w:val="24"/>
          <w:szCs w:val="24"/>
        </w:rPr>
        <w:t xml:space="preserve"> Между тем, учитывая сезонность производимой продукции, в декабре </w:t>
      </w:r>
      <w:r w:rsidR="00FC4564" w:rsidRPr="005816E1">
        <w:rPr>
          <w:rFonts w:ascii="Times New Roman" w:eastAsia="Times New Roman" w:hAnsi="Times New Roman" w:cs="Times New Roman"/>
          <w:sz w:val="24"/>
          <w:szCs w:val="24"/>
        </w:rPr>
        <w:t xml:space="preserve">2016 года по отношению к ноябрю 2016 года </w:t>
      </w:r>
      <w:r w:rsidR="00C76D47">
        <w:rPr>
          <w:rFonts w:ascii="Times New Roman" w:eastAsia="Times New Roman" w:hAnsi="Times New Roman" w:cs="Times New Roman"/>
          <w:sz w:val="24"/>
          <w:szCs w:val="24"/>
        </w:rPr>
        <w:t>по отрасли отмечен рост объема производства на 10,5%.</w:t>
      </w:r>
    </w:p>
    <w:p w:rsidR="007A3CFD" w:rsidRPr="005816E1" w:rsidRDefault="007A3CFD" w:rsidP="0028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В натуральном выражении в анализируемом периоде отмечается снижение производства муки на </w:t>
      </w:r>
      <w:r w:rsidR="006512C3" w:rsidRPr="005816E1">
        <w:rPr>
          <w:rFonts w:ascii="Times New Roman" w:eastAsia="Times New Roman" w:hAnsi="Times New Roman" w:cs="Times New Roman"/>
          <w:sz w:val="24"/>
          <w:szCs w:val="24"/>
        </w:rPr>
        <w:t>14,</w:t>
      </w:r>
      <w:r w:rsidR="00064B31" w:rsidRPr="005816E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20994" w:rsidRPr="005816E1" w:rsidRDefault="00612D8A" w:rsidP="00282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816E1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="00E6295D" w:rsidRPr="005816E1">
        <w:rPr>
          <w:rFonts w:ascii="Times New Roman" w:hAnsi="Times New Roman"/>
          <w:sz w:val="24"/>
          <w:szCs w:val="24"/>
        </w:rPr>
        <w:t xml:space="preserve">) в </w:t>
      </w:r>
      <w:r w:rsidR="00E6295D" w:rsidRPr="005816E1">
        <w:rPr>
          <w:rFonts w:ascii="Times New Roman" w:hAnsi="Times New Roman"/>
          <w:b/>
          <w:sz w:val="24"/>
          <w:szCs w:val="24"/>
        </w:rPr>
        <w:t>полиграфической промышленности</w:t>
      </w:r>
      <w:r w:rsidR="00E6295D" w:rsidRPr="005816E1">
        <w:rPr>
          <w:rFonts w:ascii="Times New Roman" w:hAnsi="Times New Roman"/>
          <w:sz w:val="24"/>
          <w:szCs w:val="24"/>
        </w:rPr>
        <w:t xml:space="preserve"> падение объема производства в </w:t>
      </w:r>
      <w:r w:rsidR="00D444AF" w:rsidRPr="005816E1">
        <w:rPr>
          <w:rFonts w:ascii="Times New Roman" w:hAnsi="Times New Roman"/>
          <w:sz w:val="24"/>
          <w:szCs w:val="24"/>
        </w:rPr>
        <w:t>рассматриваемом периоде</w:t>
      </w:r>
      <w:r w:rsidR="00E6295D" w:rsidRPr="005816E1">
        <w:rPr>
          <w:rFonts w:ascii="Times New Roman" w:hAnsi="Times New Roman"/>
          <w:sz w:val="24"/>
          <w:szCs w:val="24"/>
        </w:rPr>
        <w:t xml:space="preserve"> на ГУИП Типография «Полиграфист» (</w:t>
      </w:r>
      <w:r w:rsidR="00ED6BFB" w:rsidRPr="005816E1">
        <w:rPr>
          <w:rFonts w:ascii="Times New Roman" w:hAnsi="Times New Roman"/>
          <w:sz w:val="24"/>
          <w:szCs w:val="24"/>
        </w:rPr>
        <w:t>5</w:t>
      </w:r>
      <w:r w:rsidR="006512C3" w:rsidRPr="005816E1">
        <w:rPr>
          <w:rFonts w:ascii="Times New Roman" w:hAnsi="Times New Roman"/>
          <w:sz w:val="24"/>
          <w:szCs w:val="24"/>
        </w:rPr>
        <w:t>2</w:t>
      </w:r>
      <w:r w:rsidR="00ED6BFB" w:rsidRPr="005816E1">
        <w:rPr>
          <w:rFonts w:ascii="Times New Roman" w:hAnsi="Times New Roman"/>
          <w:sz w:val="24"/>
          <w:szCs w:val="24"/>
        </w:rPr>
        <w:t>,</w:t>
      </w:r>
      <w:r w:rsidR="00064B31" w:rsidRPr="005816E1">
        <w:rPr>
          <w:rFonts w:ascii="Times New Roman" w:hAnsi="Times New Roman"/>
          <w:sz w:val="24"/>
          <w:szCs w:val="24"/>
        </w:rPr>
        <w:t>7</w:t>
      </w:r>
      <w:r w:rsidR="00E6295D" w:rsidRPr="005816E1">
        <w:rPr>
          <w:rFonts w:ascii="Times New Roman" w:hAnsi="Times New Roman"/>
          <w:sz w:val="24"/>
          <w:szCs w:val="24"/>
        </w:rPr>
        <w:t xml:space="preserve">% общего объема производства по </w:t>
      </w:r>
      <w:proofErr w:type="spellStart"/>
      <w:r w:rsidR="00E6295D" w:rsidRPr="005816E1">
        <w:rPr>
          <w:rFonts w:ascii="Times New Roman" w:hAnsi="Times New Roman"/>
          <w:sz w:val="24"/>
          <w:szCs w:val="24"/>
        </w:rPr>
        <w:t>подотрасли</w:t>
      </w:r>
      <w:proofErr w:type="spellEnd"/>
      <w:r w:rsidR="00E6295D" w:rsidRPr="005816E1">
        <w:rPr>
          <w:rFonts w:ascii="Times New Roman" w:hAnsi="Times New Roman"/>
          <w:sz w:val="24"/>
          <w:szCs w:val="24"/>
        </w:rPr>
        <w:t xml:space="preserve">) </w:t>
      </w:r>
      <w:r w:rsidR="00A66695" w:rsidRPr="005816E1">
        <w:rPr>
          <w:rFonts w:ascii="Times New Roman" w:hAnsi="Times New Roman"/>
          <w:sz w:val="24"/>
          <w:szCs w:val="24"/>
        </w:rPr>
        <w:t xml:space="preserve">на </w:t>
      </w:r>
      <w:r w:rsidR="00064B31" w:rsidRPr="005816E1">
        <w:rPr>
          <w:rFonts w:ascii="Times New Roman" w:hAnsi="Times New Roman"/>
          <w:sz w:val="24"/>
          <w:szCs w:val="24"/>
        </w:rPr>
        <w:t>70</w:t>
      </w:r>
      <w:r w:rsidR="00ED6BFB" w:rsidRPr="005816E1">
        <w:rPr>
          <w:rFonts w:ascii="Times New Roman" w:hAnsi="Times New Roman"/>
          <w:sz w:val="24"/>
          <w:szCs w:val="24"/>
        </w:rPr>
        <w:t>,</w:t>
      </w:r>
      <w:r w:rsidR="006512C3" w:rsidRPr="005816E1">
        <w:rPr>
          <w:rFonts w:ascii="Times New Roman" w:hAnsi="Times New Roman"/>
          <w:sz w:val="24"/>
          <w:szCs w:val="24"/>
        </w:rPr>
        <w:t>3</w:t>
      </w:r>
      <w:r w:rsidR="00F93B94" w:rsidRPr="005816E1">
        <w:rPr>
          <w:rFonts w:ascii="Times New Roman" w:hAnsi="Times New Roman"/>
          <w:sz w:val="24"/>
          <w:szCs w:val="24"/>
        </w:rPr>
        <w:t>% относительно соответствующего периода прошлого года</w:t>
      </w:r>
      <w:r w:rsidR="007A3CFD" w:rsidRPr="005816E1">
        <w:rPr>
          <w:rFonts w:ascii="Times New Roman" w:hAnsi="Times New Roman"/>
          <w:sz w:val="24"/>
          <w:szCs w:val="24"/>
        </w:rPr>
        <w:t>,</w:t>
      </w:r>
      <w:r w:rsidR="00F93B94" w:rsidRPr="005816E1">
        <w:rPr>
          <w:rFonts w:ascii="Times New Roman" w:hAnsi="Times New Roman"/>
          <w:sz w:val="24"/>
          <w:szCs w:val="24"/>
        </w:rPr>
        <w:t xml:space="preserve"> </w:t>
      </w:r>
      <w:r w:rsidR="00E6295D" w:rsidRPr="005816E1">
        <w:rPr>
          <w:rFonts w:ascii="Times New Roman" w:hAnsi="Times New Roman"/>
          <w:sz w:val="24"/>
          <w:szCs w:val="24"/>
        </w:rPr>
        <w:t xml:space="preserve">в результате </w:t>
      </w:r>
      <w:r w:rsidR="007A3CFD" w:rsidRPr="005816E1">
        <w:rPr>
          <w:rFonts w:ascii="Times New Roman" w:hAnsi="Times New Roman"/>
          <w:sz w:val="24"/>
          <w:szCs w:val="24"/>
        </w:rPr>
        <w:t xml:space="preserve">выполнения договорных обязательств по печати учебной литературы </w:t>
      </w:r>
      <w:r w:rsidR="00E6295D" w:rsidRPr="005816E1">
        <w:rPr>
          <w:rFonts w:ascii="Times New Roman" w:hAnsi="Times New Roman"/>
          <w:sz w:val="24"/>
          <w:szCs w:val="24"/>
        </w:rPr>
        <w:t>предопределило с</w:t>
      </w:r>
      <w:r w:rsidR="00A52E23" w:rsidRPr="005816E1">
        <w:rPr>
          <w:rFonts w:ascii="Times New Roman" w:hAnsi="Times New Roman"/>
          <w:sz w:val="24"/>
          <w:szCs w:val="24"/>
        </w:rPr>
        <w:t xml:space="preserve">окращение совокупной стоимости </w:t>
      </w:r>
      <w:r w:rsidR="00E6295D" w:rsidRPr="005816E1">
        <w:rPr>
          <w:rFonts w:ascii="Times New Roman" w:hAnsi="Times New Roman"/>
          <w:sz w:val="24"/>
          <w:szCs w:val="24"/>
        </w:rPr>
        <w:t xml:space="preserve">товарного выпуска отрасли на </w:t>
      </w:r>
      <w:r w:rsidR="00064B31" w:rsidRPr="005816E1">
        <w:rPr>
          <w:rFonts w:ascii="Times New Roman" w:hAnsi="Times New Roman"/>
          <w:sz w:val="24"/>
          <w:szCs w:val="24"/>
        </w:rPr>
        <w:t>54,8</w:t>
      </w:r>
      <w:r w:rsidR="00E6295D" w:rsidRPr="005816E1">
        <w:rPr>
          <w:rFonts w:ascii="Times New Roman" w:hAnsi="Times New Roman"/>
          <w:sz w:val="24"/>
          <w:szCs w:val="24"/>
        </w:rPr>
        <w:t>%.</w:t>
      </w:r>
      <w:r w:rsidR="00420994" w:rsidRPr="005816E1">
        <w:rPr>
          <w:rFonts w:ascii="Times New Roman" w:hAnsi="Times New Roman"/>
          <w:sz w:val="24"/>
          <w:szCs w:val="24"/>
        </w:rPr>
        <w:t xml:space="preserve"> При этом в </w:t>
      </w:r>
      <w:r w:rsidR="00FC4564" w:rsidRPr="005816E1">
        <w:rPr>
          <w:rFonts w:ascii="Times New Roman" w:hAnsi="Times New Roman"/>
          <w:sz w:val="24"/>
          <w:szCs w:val="24"/>
        </w:rPr>
        <w:t>дека</w:t>
      </w:r>
      <w:r w:rsidR="00420994" w:rsidRPr="005816E1">
        <w:rPr>
          <w:rFonts w:ascii="Times New Roman" w:hAnsi="Times New Roman"/>
          <w:sz w:val="24"/>
          <w:szCs w:val="24"/>
        </w:rPr>
        <w:t xml:space="preserve">бре 2016 года, на фоне </w:t>
      </w:r>
      <w:r w:rsidR="00FC4564" w:rsidRPr="005816E1">
        <w:rPr>
          <w:rFonts w:ascii="Times New Roman" w:hAnsi="Times New Roman"/>
          <w:sz w:val="24"/>
          <w:szCs w:val="24"/>
        </w:rPr>
        <w:t xml:space="preserve">снижения </w:t>
      </w:r>
      <w:r w:rsidR="00ED6BFB" w:rsidRPr="005816E1">
        <w:rPr>
          <w:rFonts w:ascii="Times New Roman" w:hAnsi="Times New Roman"/>
          <w:sz w:val="24"/>
          <w:szCs w:val="24"/>
        </w:rPr>
        <w:t xml:space="preserve">спроса на </w:t>
      </w:r>
      <w:r w:rsidR="00FC4564" w:rsidRPr="005816E1">
        <w:rPr>
          <w:rFonts w:ascii="Times New Roman" w:hAnsi="Times New Roman"/>
          <w:sz w:val="24"/>
          <w:szCs w:val="24"/>
        </w:rPr>
        <w:t>книги и брошюры</w:t>
      </w:r>
      <w:r w:rsidR="00ED6BFB" w:rsidRPr="005816E1">
        <w:rPr>
          <w:rFonts w:ascii="Times New Roman" w:hAnsi="Times New Roman"/>
          <w:sz w:val="24"/>
          <w:szCs w:val="24"/>
        </w:rPr>
        <w:t xml:space="preserve">, </w:t>
      </w:r>
      <w:r w:rsidR="00FC4564" w:rsidRPr="005816E1">
        <w:rPr>
          <w:rFonts w:ascii="Times New Roman" w:hAnsi="Times New Roman"/>
          <w:sz w:val="24"/>
          <w:szCs w:val="24"/>
        </w:rPr>
        <w:t>журналы</w:t>
      </w:r>
      <w:proofErr w:type="gramEnd"/>
      <w:r w:rsidR="00ED6BFB" w:rsidRPr="005816E1">
        <w:rPr>
          <w:rFonts w:ascii="Times New Roman" w:hAnsi="Times New Roman"/>
          <w:sz w:val="24"/>
          <w:szCs w:val="24"/>
        </w:rPr>
        <w:t xml:space="preserve">, </w:t>
      </w:r>
      <w:r w:rsidR="00FC4564" w:rsidRPr="005816E1">
        <w:rPr>
          <w:rFonts w:ascii="Times New Roman" w:hAnsi="Times New Roman"/>
          <w:sz w:val="24"/>
          <w:szCs w:val="24"/>
        </w:rPr>
        <w:t>а также бланочную продукцию, спад</w:t>
      </w:r>
      <w:r w:rsidR="00420994" w:rsidRPr="005816E1">
        <w:rPr>
          <w:rFonts w:ascii="Times New Roman" w:hAnsi="Times New Roman"/>
          <w:sz w:val="24"/>
          <w:szCs w:val="24"/>
        </w:rPr>
        <w:t xml:space="preserve"> объема произ</w:t>
      </w:r>
      <w:r w:rsidR="00ED6BFB" w:rsidRPr="005816E1">
        <w:rPr>
          <w:rFonts w:ascii="Times New Roman" w:hAnsi="Times New Roman"/>
          <w:sz w:val="24"/>
          <w:szCs w:val="24"/>
        </w:rPr>
        <w:t xml:space="preserve">водства отрасли по отношению к </w:t>
      </w:r>
      <w:r w:rsidR="00FC4564" w:rsidRPr="005816E1">
        <w:rPr>
          <w:rFonts w:ascii="Times New Roman" w:hAnsi="Times New Roman"/>
          <w:sz w:val="24"/>
          <w:szCs w:val="24"/>
        </w:rPr>
        <w:t>но</w:t>
      </w:r>
      <w:r w:rsidR="00ED6BFB" w:rsidRPr="005816E1">
        <w:rPr>
          <w:rFonts w:ascii="Times New Roman" w:hAnsi="Times New Roman"/>
          <w:sz w:val="24"/>
          <w:szCs w:val="24"/>
        </w:rPr>
        <w:t>ябрю</w:t>
      </w:r>
      <w:r w:rsidR="00420994" w:rsidRPr="005816E1">
        <w:rPr>
          <w:rFonts w:ascii="Times New Roman" w:hAnsi="Times New Roman"/>
          <w:sz w:val="24"/>
          <w:szCs w:val="24"/>
        </w:rPr>
        <w:t xml:space="preserve"> текущего года составил </w:t>
      </w:r>
      <w:r w:rsidR="00FC4564" w:rsidRPr="005816E1">
        <w:rPr>
          <w:rFonts w:ascii="Times New Roman" w:hAnsi="Times New Roman"/>
          <w:sz w:val="24"/>
          <w:szCs w:val="24"/>
        </w:rPr>
        <w:t>17,7</w:t>
      </w:r>
      <w:r w:rsidR="00420994" w:rsidRPr="005816E1">
        <w:rPr>
          <w:rFonts w:ascii="Times New Roman" w:hAnsi="Times New Roman"/>
          <w:sz w:val="24"/>
          <w:szCs w:val="24"/>
        </w:rPr>
        <w:t>%.</w:t>
      </w:r>
    </w:p>
    <w:p w:rsidR="007B4DB3" w:rsidRDefault="00E6295D" w:rsidP="006C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достигнутые значения показателей промышленного производства </w:t>
      </w:r>
      <w:r w:rsidR="00563846" w:rsidRPr="005816E1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846" w:rsidRPr="005816E1">
        <w:rPr>
          <w:rFonts w:ascii="Times New Roman" w:eastAsia="Times New Roman" w:hAnsi="Times New Roman" w:cs="Times New Roman"/>
          <w:sz w:val="24"/>
          <w:szCs w:val="24"/>
        </w:rPr>
        <w:t xml:space="preserve">негативные </w:t>
      </w:r>
      <w:proofErr w:type="gramStart"/>
      <w:r w:rsidR="00563846" w:rsidRPr="005816E1">
        <w:rPr>
          <w:rFonts w:ascii="Times New Roman" w:eastAsia="Times New Roman" w:hAnsi="Times New Roman" w:cs="Times New Roman"/>
          <w:sz w:val="24"/>
          <w:szCs w:val="24"/>
        </w:rPr>
        <w:t>тенденции</w:t>
      </w:r>
      <w:proofErr w:type="gramEnd"/>
      <w:r w:rsidR="00563846"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02A" w:rsidRPr="005816E1">
        <w:rPr>
          <w:rFonts w:ascii="Times New Roman" w:eastAsia="Times New Roman" w:hAnsi="Times New Roman" w:cs="Times New Roman"/>
          <w:sz w:val="24"/>
          <w:szCs w:val="24"/>
        </w:rPr>
        <w:t xml:space="preserve">сложившиеся </w:t>
      </w:r>
      <w:r w:rsidR="00563846" w:rsidRPr="005816E1">
        <w:rPr>
          <w:rFonts w:ascii="Times New Roman" w:eastAsia="Times New Roman" w:hAnsi="Times New Roman" w:cs="Times New Roman"/>
          <w:sz w:val="24"/>
          <w:szCs w:val="24"/>
        </w:rPr>
        <w:t>в экономике республики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48E8" w:rsidRPr="0058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3D" w:rsidRPr="005816E1">
        <w:rPr>
          <w:rFonts w:ascii="Times New Roman" w:hAnsi="Times New Roman" w:cs="Times New Roman"/>
          <w:sz w:val="24"/>
          <w:szCs w:val="24"/>
        </w:rPr>
        <w:t>Разновекторная</w:t>
      </w:r>
      <w:proofErr w:type="spellEnd"/>
      <w:r w:rsidR="00A30D3D" w:rsidRPr="005816E1">
        <w:rPr>
          <w:rFonts w:ascii="Times New Roman" w:hAnsi="Times New Roman" w:cs="Times New Roman"/>
          <w:sz w:val="24"/>
          <w:szCs w:val="24"/>
        </w:rPr>
        <w:t xml:space="preserve"> динамика </w:t>
      </w:r>
      <w:r w:rsidR="004F0C35" w:rsidRPr="005816E1">
        <w:rPr>
          <w:rFonts w:ascii="Times New Roman" w:hAnsi="Times New Roman" w:cs="Times New Roman"/>
          <w:sz w:val="24"/>
          <w:szCs w:val="24"/>
        </w:rPr>
        <w:t>сырьевых и отпускных цен, защита внутреннего рынка некоторыми государствами</w:t>
      </w:r>
      <w:r w:rsidR="001B3B72" w:rsidRPr="005816E1">
        <w:rPr>
          <w:rFonts w:ascii="Times New Roman" w:hAnsi="Times New Roman" w:cs="Times New Roman"/>
          <w:sz w:val="24"/>
          <w:szCs w:val="24"/>
        </w:rPr>
        <w:t xml:space="preserve">,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в совокупности с </w:t>
      </w:r>
      <w:r w:rsidR="004F0C35" w:rsidRPr="005816E1">
        <w:rPr>
          <w:rFonts w:ascii="Times New Roman" w:eastAsia="Times New Roman" w:hAnsi="Times New Roman" w:cs="Times New Roman"/>
          <w:sz w:val="24"/>
          <w:szCs w:val="24"/>
        </w:rPr>
        <w:t>дисбалансом на валютном рынке Приднестровской Молдавской Республики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оказыва</w:t>
      </w:r>
      <w:r w:rsidR="00C76D4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103" w:rsidRPr="005816E1">
        <w:rPr>
          <w:rFonts w:ascii="Times New Roman" w:eastAsia="Times New Roman" w:hAnsi="Times New Roman" w:cs="Times New Roman"/>
          <w:sz w:val="24"/>
          <w:szCs w:val="24"/>
        </w:rPr>
        <w:t>отрицательное влияние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63846" w:rsidRPr="005816E1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функционирование </w:t>
      </w:r>
      <w:r w:rsidRPr="005816E1">
        <w:rPr>
          <w:rFonts w:ascii="Times New Roman" w:eastAsia="Times New Roman" w:hAnsi="Times New Roman" w:cs="Times New Roman"/>
          <w:sz w:val="24"/>
          <w:szCs w:val="24"/>
        </w:rPr>
        <w:t>предприятий индустрии</w:t>
      </w:r>
      <w:r w:rsidR="005816E1" w:rsidRPr="005816E1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всего 2016 года</w:t>
      </w:r>
      <w:r w:rsidR="00761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99A" w:rsidRDefault="001E499A" w:rsidP="006C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99A" w:rsidRDefault="001E499A" w:rsidP="001E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1462E">
        <w:rPr>
          <w:rFonts w:ascii="Times New Roman" w:hAnsi="Times New Roman"/>
          <w:b/>
          <w:sz w:val="24"/>
          <w:szCs w:val="24"/>
          <w:u w:val="single"/>
        </w:rPr>
        <w:t>В</w:t>
      </w:r>
      <w:r w:rsidRPr="0071462E">
        <w:rPr>
          <w:rFonts w:ascii="Times New Roman" w:hAnsi="Times New Roman"/>
          <w:b/>
          <w:color w:val="000000"/>
          <w:sz w:val="24"/>
          <w:szCs w:val="24"/>
          <w:u w:val="single"/>
        </w:rPr>
        <w:t>нешнеэкономическая деятельность</w:t>
      </w:r>
    </w:p>
    <w:p w:rsidR="001E499A" w:rsidRDefault="001E499A" w:rsidP="001E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января-декабря 2016 года помимо воздействия неблагоприятного тренда </w:t>
      </w:r>
      <w:r w:rsidRPr="00C96CD9">
        <w:rPr>
          <w:rFonts w:ascii="Times New Roman" w:hAnsi="Times New Roman"/>
          <w:sz w:val="24"/>
          <w:szCs w:val="24"/>
        </w:rPr>
        <w:t>ценов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C96CD9">
        <w:rPr>
          <w:rFonts w:ascii="Times New Roman" w:hAnsi="Times New Roman"/>
          <w:sz w:val="24"/>
          <w:szCs w:val="24"/>
        </w:rPr>
        <w:t>конъюнктур</w:t>
      </w:r>
      <w:r>
        <w:rPr>
          <w:rFonts w:ascii="Times New Roman" w:hAnsi="Times New Roman"/>
          <w:sz w:val="24"/>
          <w:szCs w:val="24"/>
        </w:rPr>
        <w:t>ы</w:t>
      </w:r>
      <w:r w:rsidRPr="00C96CD9">
        <w:rPr>
          <w:rFonts w:ascii="Times New Roman" w:hAnsi="Times New Roman"/>
          <w:sz w:val="24"/>
          <w:szCs w:val="24"/>
        </w:rPr>
        <w:t xml:space="preserve"> мировых рынк</w:t>
      </w:r>
      <w:r>
        <w:rPr>
          <w:rFonts w:ascii="Times New Roman" w:hAnsi="Times New Roman"/>
          <w:sz w:val="24"/>
          <w:szCs w:val="24"/>
        </w:rPr>
        <w:t>ов</w:t>
      </w:r>
      <w:r w:rsidRPr="00C96CD9">
        <w:rPr>
          <w:rFonts w:ascii="Times New Roman" w:hAnsi="Times New Roman"/>
          <w:sz w:val="24"/>
          <w:szCs w:val="24"/>
        </w:rPr>
        <w:t>, внешнеполитически</w:t>
      </w:r>
      <w:r>
        <w:rPr>
          <w:rFonts w:ascii="Times New Roman" w:hAnsi="Times New Roman"/>
          <w:sz w:val="24"/>
          <w:szCs w:val="24"/>
        </w:rPr>
        <w:t>х</w:t>
      </w:r>
      <w:r w:rsidRPr="00C96CD9">
        <w:rPr>
          <w:rFonts w:ascii="Times New Roman" w:hAnsi="Times New Roman"/>
          <w:sz w:val="24"/>
          <w:szCs w:val="24"/>
        </w:rPr>
        <w:t xml:space="preserve"> вызов и негативны</w:t>
      </w:r>
      <w:r>
        <w:rPr>
          <w:rFonts w:ascii="Times New Roman" w:hAnsi="Times New Roman"/>
          <w:sz w:val="24"/>
          <w:szCs w:val="24"/>
        </w:rPr>
        <w:t>х</w:t>
      </w:r>
      <w:r w:rsidRPr="00C96CD9">
        <w:rPr>
          <w:rFonts w:ascii="Times New Roman" w:hAnsi="Times New Roman"/>
          <w:sz w:val="24"/>
          <w:szCs w:val="24"/>
        </w:rPr>
        <w:t xml:space="preserve"> внешнеэкономически</w:t>
      </w:r>
      <w:r>
        <w:rPr>
          <w:rFonts w:ascii="Times New Roman" w:hAnsi="Times New Roman"/>
          <w:sz w:val="24"/>
          <w:szCs w:val="24"/>
        </w:rPr>
        <w:t>х</w:t>
      </w:r>
      <w:r w:rsidRPr="00C96CD9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й</w:t>
      </w:r>
      <w:r w:rsidRPr="00C96CD9">
        <w:rPr>
          <w:rFonts w:ascii="Times New Roman" w:hAnsi="Times New Roman"/>
          <w:sz w:val="24"/>
          <w:szCs w:val="24"/>
        </w:rPr>
        <w:t>, как в соседних государствах, так и в странах дальнего зарубежья</w:t>
      </w:r>
      <w:r>
        <w:rPr>
          <w:rFonts w:ascii="Times New Roman" w:hAnsi="Times New Roman"/>
          <w:sz w:val="24"/>
          <w:szCs w:val="24"/>
        </w:rPr>
        <w:t>,</w:t>
      </w:r>
      <w:r w:rsidRPr="00C96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экономические агенты </w:t>
      </w:r>
      <w:r w:rsidRPr="008D163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столкнулись с рядом трудностей введенных Республикой Молдова в сфере таможенного оформления грузов и транспортной логистики. Данные ограничения </w:t>
      </w:r>
      <w:r w:rsidRPr="00A04665">
        <w:rPr>
          <w:rFonts w:ascii="Times New Roman" w:hAnsi="Times New Roman" w:cs="Times New Roman"/>
          <w:sz w:val="24"/>
          <w:szCs w:val="24"/>
        </w:rPr>
        <w:t>предопредели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A04665">
        <w:rPr>
          <w:rFonts w:ascii="Times New Roman" w:hAnsi="Times New Roman" w:cs="Times New Roman"/>
          <w:sz w:val="24"/>
          <w:szCs w:val="24"/>
        </w:rPr>
        <w:t xml:space="preserve"> 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>снижение экспортных поставок из республики относительно уровня д</w:t>
      </w:r>
      <w:r>
        <w:rPr>
          <w:rFonts w:ascii="Times New Roman" w:eastAsia="Times New Roman" w:hAnsi="Times New Roman" w:cs="Times New Roman"/>
          <w:sz w:val="24"/>
          <w:szCs w:val="24"/>
        </w:rPr>
        <w:t>венадцати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 месяцев минувшего года на </w:t>
      </w:r>
      <w:r>
        <w:rPr>
          <w:rFonts w:ascii="Times New Roman" w:eastAsia="Times New Roman" w:hAnsi="Times New Roman" w:cs="Times New Roman"/>
          <w:sz w:val="24"/>
          <w:szCs w:val="24"/>
        </w:rPr>
        <w:t>13,2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>
        <w:rPr>
          <w:rFonts w:ascii="Times New Roman" w:eastAsia="Times New Roman" w:hAnsi="Times New Roman" w:cs="Times New Roman"/>
          <w:sz w:val="24"/>
          <w:szCs w:val="24"/>
        </w:rPr>
        <w:t>530,4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665">
        <w:rPr>
          <w:rFonts w:ascii="Times New Roman" w:hAnsi="Times New Roman"/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A04665">
        <w:rPr>
          <w:rFonts w:ascii="Times New Roman" w:hAnsi="Times New Roman"/>
          <w:sz w:val="24"/>
          <w:szCs w:val="24"/>
        </w:rPr>
        <w:t>долл. США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н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>еполная загруженность производственных мощностей, сужение внутреннего потребления и инвестиционного спроса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способствовали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сокращению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импортируемых сырьевых материалах и продукции на </w:t>
      </w:r>
      <w:r>
        <w:rPr>
          <w:rFonts w:ascii="Times New Roman" w:eastAsia="Times New Roman" w:hAnsi="Times New Roman" w:cs="Times New Roman"/>
          <w:sz w:val="24"/>
          <w:szCs w:val="24"/>
        </w:rPr>
        <w:t>24,6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>
        <w:rPr>
          <w:rFonts w:ascii="Times New Roman" w:eastAsia="Times New Roman" w:hAnsi="Times New Roman" w:cs="Times New Roman"/>
          <w:sz w:val="24"/>
          <w:szCs w:val="24"/>
        </w:rPr>
        <w:t>857,8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665">
        <w:rPr>
          <w:rFonts w:ascii="Times New Roman" w:hAnsi="Times New Roman"/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A04665">
        <w:rPr>
          <w:rFonts w:ascii="Times New Roman" w:hAnsi="Times New Roman"/>
          <w:sz w:val="24"/>
          <w:szCs w:val="24"/>
        </w:rPr>
        <w:t>долл. США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>. В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</w:t>
      </w:r>
      <w:r w:rsidRPr="00A0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665">
        <w:rPr>
          <w:rFonts w:ascii="Times New Roman" w:hAnsi="Times New Roman"/>
          <w:sz w:val="24"/>
          <w:szCs w:val="24"/>
        </w:rPr>
        <w:t xml:space="preserve">совокупный объем внешнеторгового оборота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04665">
        <w:rPr>
          <w:rFonts w:ascii="Times New Roman" w:hAnsi="Times New Roman"/>
          <w:sz w:val="24"/>
          <w:szCs w:val="24"/>
        </w:rPr>
        <w:t>2016 год</w:t>
      </w:r>
      <w:r>
        <w:rPr>
          <w:rFonts w:ascii="Times New Roman" w:hAnsi="Times New Roman"/>
          <w:sz w:val="24"/>
          <w:szCs w:val="24"/>
        </w:rPr>
        <w:t xml:space="preserve">у составил </w:t>
      </w:r>
      <w:r w:rsidRPr="00A046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388,2</w:t>
      </w:r>
      <w:r w:rsidRPr="00A04665">
        <w:rPr>
          <w:rFonts w:ascii="Times New Roman" w:hAnsi="Times New Roman"/>
          <w:sz w:val="24"/>
          <w:szCs w:val="24"/>
        </w:rPr>
        <w:t xml:space="preserve"> млн.</w:t>
      </w:r>
      <w:r>
        <w:rPr>
          <w:sz w:val="24"/>
          <w:szCs w:val="24"/>
        </w:rPr>
        <w:t xml:space="preserve"> </w:t>
      </w:r>
      <w:r w:rsidRPr="00A04665">
        <w:rPr>
          <w:rFonts w:ascii="Times New Roman" w:hAnsi="Times New Roman"/>
          <w:sz w:val="24"/>
          <w:szCs w:val="24"/>
        </w:rPr>
        <w:t>долл. США</w:t>
      </w:r>
      <w:r>
        <w:rPr>
          <w:rFonts w:ascii="Times New Roman" w:hAnsi="Times New Roman"/>
          <w:sz w:val="24"/>
          <w:szCs w:val="24"/>
        </w:rPr>
        <w:t>, что на 20,6% ниже базового показателя 2015 года.</w:t>
      </w:r>
      <w:r w:rsidRPr="00A04665">
        <w:rPr>
          <w:rFonts w:ascii="Times New Roman" w:hAnsi="Times New Roman"/>
          <w:sz w:val="24"/>
          <w:szCs w:val="24"/>
        </w:rPr>
        <w:t xml:space="preserve"> Сальдо внешнеторгового оборота составило </w:t>
      </w:r>
      <w:r>
        <w:rPr>
          <w:rFonts w:ascii="Times New Roman" w:hAnsi="Times New Roman"/>
          <w:sz w:val="24"/>
          <w:szCs w:val="24"/>
        </w:rPr>
        <w:br/>
      </w:r>
      <w:r w:rsidRPr="00A04665">
        <w:rPr>
          <w:rFonts w:ascii="Times New Roman" w:hAnsi="Times New Roman"/>
          <w:sz w:val="24"/>
          <w:szCs w:val="24"/>
        </w:rPr>
        <w:t>«-»</w:t>
      </w:r>
      <w:r>
        <w:rPr>
          <w:rFonts w:ascii="Times New Roman" w:hAnsi="Times New Roman"/>
          <w:sz w:val="24"/>
          <w:szCs w:val="24"/>
        </w:rPr>
        <w:t>327,4</w:t>
      </w:r>
      <w:r w:rsidRPr="00A04665">
        <w:rPr>
          <w:rFonts w:ascii="Times New Roman" w:hAnsi="Times New Roman"/>
          <w:sz w:val="24"/>
          <w:szCs w:val="24"/>
        </w:rPr>
        <w:t xml:space="preserve"> млн. долл. США, против «-»</w:t>
      </w:r>
      <w:r>
        <w:rPr>
          <w:rFonts w:ascii="Times New Roman" w:hAnsi="Times New Roman"/>
          <w:sz w:val="24"/>
          <w:szCs w:val="24"/>
        </w:rPr>
        <w:t>527,2</w:t>
      </w:r>
      <w:r w:rsidRPr="00A04665">
        <w:rPr>
          <w:rFonts w:ascii="Times New Roman" w:hAnsi="Times New Roman"/>
          <w:sz w:val="24"/>
          <w:szCs w:val="24"/>
        </w:rPr>
        <w:t xml:space="preserve"> млн. долл. США в январе-</w:t>
      </w:r>
      <w:r>
        <w:rPr>
          <w:rFonts w:ascii="Times New Roman" w:hAnsi="Times New Roman"/>
          <w:sz w:val="24"/>
          <w:szCs w:val="24"/>
        </w:rPr>
        <w:t>декабре</w:t>
      </w:r>
      <w:r w:rsidRPr="00A04665">
        <w:rPr>
          <w:rFonts w:ascii="Times New Roman" w:hAnsi="Times New Roman"/>
          <w:sz w:val="24"/>
          <w:szCs w:val="24"/>
        </w:rPr>
        <w:t xml:space="preserve"> 2015 года.</w:t>
      </w:r>
    </w:p>
    <w:p w:rsidR="001E499A" w:rsidRPr="00B4073D" w:rsidRDefault="001E499A" w:rsidP="001E499A">
      <w:pPr>
        <w:pStyle w:val="a5"/>
        <w:rPr>
          <w:sz w:val="8"/>
          <w:szCs w:val="8"/>
        </w:rPr>
      </w:pPr>
    </w:p>
    <w:p w:rsidR="001E499A" w:rsidRDefault="001E499A" w:rsidP="001E499A">
      <w:pPr>
        <w:pStyle w:val="a5"/>
        <w:tabs>
          <w:tab w:val="left" w:pos="7920"/>
        </w:tabs>
        <w:jc w:val="center"/>
        <w:rPr>
          <w:b/>
          <w:szCs w:val="24"/>
        </w:rPr>
      </w:pPr>
      <w:r w:rsidRPr="0071462E">
        <w:rPr>
          <w:b/>
          <w:szCs w:val="24"/>
        </w:rPr>
        <w:t xml:space="preserve">Динамика внешнеторгового оборота </w:t>
      </w:r>
    </w:p>
    <w:p w:rsidR="001E499A" w:rsidRDefault="001E499A" w:rsidP="001E499A">
      <w:pPr>
        <w:pStyle w:val="a5"/>
        <w:tabs>
          <w:tab w:val="left" w:pos="7920"/>
        </w:tabs>
        <w:jc w:val="center"/>
        <w:rPr>
          <w:b/>
          <w:szCs w:val="24"/>
        </w:rPr>
      </w:pPr>
      <w:r w:rsidRPr="0071462E">
        <w:rPr>
          <w:b/>
          <w:szCs w:val="24"/>
        </w:rPr>
        <w:t>в январе-</w:t>
      </w:r>
      <w:r>
        <w:rPr>
          <w:b/>
          <w:szCs w:val="24"/>
        </w:rPr>
        <w:t xml:space="preserve">декабре </w:t>
      </w:r>
      <w:r w:rsidRPr="0071462E">
        <w:rPr>
          <w:b/>
          <w:szCs w:val="24"/>
        </w:rPr>
        <w:t>201</w:t>
      </w:r>
      <w:r>
        <w:rPr>
          <w:b/>
          <w:szCs w:val="24"/>
        </w:rPr>
        <w:t>5</w:t>
      </w:r>
      <w:r w:rsidRPr="0071462E">
        <w:rPr>
          <w:b/>
          <w:szCs w:val="24"/>
        </w:rPr>
        <w:t xml:space="preserve"> - 201</w:t>
      </w:r>
      <w:r>
        <w:rPr>
          <w:b/>
          <w:szCs w:val="24"/>
        </w:rPr>
        <w:t>6</w:t>
      </w:r>
      <w:r w:rsidRPr="0071462E">
        <w:rPr>
          <w:b/>
          <w:szCs w:val="24"/>
        </w:rPr>
        <w:t xml:space="preserve"> г.г.</w:t>
      </w:r>
      <w:r>
        <w:rPr>
          <w:b/>
          <w:szCs w:val="24"/>
        </w:rPr>
        <w:t>, млн. долл. США</w:t>
      </w:r>
    </w:p>
    <w:p w:rsidR="001E499A" w:rsidRPr="0078705C" w:rsidRDefault="001E499A" w:rsidP="001E499A">
      <w:pPr>
        <w:pStyle w:val="a5"/>
        <w:tabs>
          <w:tab w:val="left" w:pos="7920"/>
        </w:tabs>
        <w:jc w:val="center"/>
        <w:rPr>
          <w:b/>
          <w:sz w:val="12"/>
          <w:szCs w:val="12"/>
        </w:rPr>
      </w:pPr>
    </w:p>
    <w:p w:rsidR="001E499A" w:rsidRDefault="001E499A" w:rsidP="001E499A">
      <w:pPr>
        <w:pStyle w:val="a5"/>
        <w:tabs>
          <w:tab w:val="left" w:pos="7920"/>
        </w:tabs>
        <w:ind w:left="-709" w:firstLine="0"/>
        <w:jc w:val="center"/>
        <w:rPr>
          <w:b/>
          <w:szCs w:val="24"/>
        </w:rPr>
      </w:pPr>
      <w:r w:rsidRPr="0071462E">
        <w:rPr>
          <w:b/>
          <w:noProof/>
          <w:szCs w:val="24"/>
        </w:rPr>
        <w:drawing>
          <wp:inline distT="0" distB="0" distL="0" distR="0">
            <wp:extent cx="6677025" cy="1724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499A" w:rsidRPr="00B4073D" w:rsidRDefault="001E499A" w:rsidP="001E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1E499A" w:rsidRDefault="001E499A" w:rsidP="001E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Помесячная динамика </w:t>
      </w:r>
      <w:r w:rsidRPr="000A384B">
        <w:rPr>
          <w:rFonts w:ascii="Times New Roman" w:hAnsi="Times New Roman"/>
          <w:sz w:val="24"/>
          <w:szCs w:val="24"/>
        </w:rPr>
        <w:t>показат</w:t>
      </w:r>
      <w:r>
        <w:rPr>
          <w:rFonts w:ascii="Times New Roman" w:hAnsi="Times New Roman"/>
          <w:sz w:val="24"/>
          <w:szCs w:val="24"/>
        </w:rPr>
        <w:t xml:space="preserve">елей внешнеторговой деятельности в декабре 2016 года по отношению к ноябрю характеризовалась незначительным снижением объемов </w:t>
      </w:r>
      <w:r w:rsidRPr="000A384B">
        <w:rPr>
          <w:rFonts w:ascii="Times New Roman" w:hAnsi="Times New Roman"/>
          <w:sz w:val="24"/>
          <w:szCs w:val="24"/>
        </w:rPr>
        <w:t>совокупн</w:t>
      </w:r>
      <w:r>
        <w:rPr>
          <w:rFonts w:ascii="Times New Roman" w:hAnsi="Times New Roman"/>
          <w:sz w:val="24"/>
          <w:szCs w:val="24"/>
        </w:rPr>
        <w:t>ого</w:t>
      </w:r>
      <w:r w:rsidRPr="000A384B">
        <w:rPr>
          <w:rFonts w:ascii="Times New Roman" w:hAnsi="Times New Roman"/>
          <w:sz w:val="24"/>
          <w:szCs w:val="24"/>
        </w:rPr>
        <w:t xml:space="preserve"> внешнеторгов</w:t>
      </w:r>
      <w:r>
        <w:rPr>
          <w:rFonts w:ascii="Times New Roman" w:hAnsi="Times New Roman"/>
          <w:sz w:val="24"/>
          <w:szCs w:val="24"/>
        </w:rPr>
        <w:t>ого</w:t>
      </w:r>
      <w:r w:rsidRPr="000A384B">
        <w:rPr>
          <w:rFonts w:ascii="Times New Roman" w:hAnsi="Times New Roman"/>
          <w:sz w:val="24"/>
          <w:szCs w:val="24"/>
        </w:rPr>
        <w:t xml:space="preserve"> оборот</w:t>
      </w:r>
      <w:r>
        <w:rPr>
          <w:rFonts w:ascii="Times New Roman" w:hAnsi="Times New Roman"/>
          <w:sz w:val="24"/>
          <w:szCs w:val="24"/>
        </w:rPr>
        <w:t>а Республики («-»0,9%),</w:t>
      </w:r>
      <w:r w:rsidRPr="0079394D">
        <w:rPr>
          <w:rFonts w:ascii="Times New Roman" w:hAnsi="Times New Roman"/>
          <w:sz w:val="24"/>
          <w:szCs w:val="24"/>
        </w:rPr>
        <w:t xml:space="preserve"> </w:t>
      </w:r>
      <w:r w:rsidRPr="000A384B">
        <w:rPr>
          <w:rFonts w:ascii="Times New Roman" w:hAnsi="Times New Roman"/>
          <w:sz w:val="24"/>
          <w:szCs w:val="24"/>
        </w:rPr>
        <w:t>при этом</w:t>
      </w:r>
      <w:r>
        <w:rPr>
          <w:rFonts w:ascii="Times New Roman" w:hAnsi="Times New Roman"/>
          <w:sz w:val="24"/>
          <w:szCs w:val="24"/>
        </w:rPr>
        <w:t xml:space="preserve"> экспортные поставки снизились на 27,6%, импортные поставки возросли на 18,1%.</w:t>
      </w:r>
    </w:p>
    <w:p w:rsid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D69">
        <w:rPr>
          <w:rFonts w:ascii="Times New Roman" w:hAnsi="Times New Roman"/>
          <w:sz w:val="24"/>
          <w:szCs w:val="24"/>
        </w:rPr>
        <w:t xml:space="preserve">Совокупный внешнеторговый оборот в </w:t>
      </w:r>
      <w:r>
        <w:rPr>
          <w:rFonts w:ascii="Times New Roman" w:hAnsi="Times New Roman"/>
          <w:sz w:val="24"/>
          <w:szCs w:val="24"/>
        </w:rPr>
        <w:t xml:space="preserve">декабре </w:t>
      </w:r>
      <w:r w:rsidR="00FA0FEA">
        <w:rPr>
          <w:rFonts w:ascii="Times New Roman" w:hAnsi="Times New Roman"/>
          <w:sz w:val="24"/>
          <w:szCs w:val="24"/>
        </w:rPr>
        <w:t xml:space="preserve">2016 </w:t>
      </w:r>
      <w:r w:rsidRPr="00BF1D69">
        <w:rPr>
          <w:rFonts w:ascii="Times New Roman" w:hAnsi="Times New Roman"/>
          <w:sz w:val="24"/>
          <w:szCs w:val="24"/>
        </w:rPr>
        <w:t xml:space="preserve">года на </w:t>
      </w:r>
      <w:r>
        <w:rPr>
          <w:rFonts w:ascii="Times New Roman" w:hAnsi="Times New Roman"/>
          <w:sz w:val="24"/>
          <w:szCs w:val="24"/>
        </w:rPr>
        <w:t>7,4</w:t>
      </w:r>
      <w:r w:rsidRPr="00BF1D69">
        <w:rPr>
          <w:rFonts w:ascii="Times New Roman" w:hAnsi="Times New Roman"/>
          <w:sz w:val="24"/>
          <w:szCs w:val="24"/>
        </w:rPr>
        <w:t xml:space="preserve">% не достиг </w:t>
      </w:r>
      <w:r>
        <w:rPr>
          <w:rFonts w:ascii="Times New Roman" w:hAnsi="Times New Roman"/>
          <w:sz w:val="24"/>
          <w:szCs w:val="24"/>
        </w:rPr>
        <w:t>уровня декабря 2015 года. Сокращение э</w:t>
      </w:r>
      <w:r w:rsidRPr="00BF1D69">
        <w:rPr>
          <w:rFonts w:ascii="Times New Roman" w:hAnsi="Times New Roman"/>
          <w:sz w:val="24"/>
          <w:szCs w:val="24"/>
        </w:rPr>
        <w:t>кспортны</w:t>
      </w:r>
      <w:r>
        <w:rPr>
          <w:rFonts w:ascii="Times New Roman" w:hAnsi="Times New Roman"/>
          <w:sz w:val="24"/>
          <w:szCs w:val="24"/>
        </w:rPr>
        <w:t>х</w:t>
      </w:r>
      <w:r w:rsidRPr="00BF1D69">
        <w:rPr>
          <w:rFonts w:ascii="Times New Roman" w:hAnsi="Times New Roman"/>
          <w:sz w:val="24"/>
          <w:szCs w:val="24"/>
        </w:rPr>
        <w:t xml:space="preserve"> торговы</w:t>
      </w:r>
      <w:r>
        <w:rPr>
          <w:rFonts w:ascii="Times New Roman" w:hAnsi="Times New Roman"/>
          <w:sz w:val="24"/>
          <w:szCs w:val="24"/>
        </w:rPr>
        <w:t>х</w:t>
      </w:r>
      <w:r w:rsidRPr="00BF1D69">
        <w:rPr>
          <w:rFonts w:ascii="Times New Roman" w:hAnsi="Times New Roman"/>
          <w:sz w:val="24"/>
          <w:szCs w:val="24"/>
        </w:rPr>
        <w:t xml:space="preserve"> поток</w:t>
      </w:r>
      <w:r>
        <w:rPr>
          <w:rFonts w:ascii="Times New Roman" w:hAnsi="Times New Roman"/>
          <w:sz w:val="24"/>
          <w:szCs w:val="24"/>
        </w:rPr>
        <w:t>ов</w:t>
      </w:r>
      <w:r w:rsidRPr="00BF1D6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декабре </w:t>
      </w:r>
      <w:r w:rsidRPr="00BF1D6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BF1D6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по отношению к уровню</w:t>
      </w:r>
      <w:r w:rsidRPr="00BF1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BF1D6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BF1D6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составило 16,7%</w:t>
      </w:r>
      <w:r w:rsidRPr="00BF1D69">
        <w:rPr>
          <w:rFonts w:ascii="Times New Roman" w:hAnsi="Times New Roman"/>
          <w:sz w:val="24"/>
          <w:szCs w:val="24"/>
        </w:rPr>
        <w:t>, импортны</w:t>
      </w:r>
      <w:r>
        <w:rPr>
          <w:rFonts w:ascii="Times New Roman" w:hAnsi="Times New Roman"/>
          <w:sz w:val="24"/>
          <w:szCs w:val="24"/>
        </w:rPr>
        <w:t>х</w:t>
      </w:r>
      <w:r w:rsidRPr="00BF1D6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2,7</w:t>
      </w:r>
      <w:r w:rsidRPr="00BF1D69">
        <w:rPr>
          <w:rFonts w:ascii="Times New Roman" w:hAnsi="Times New Roman"/>
          <w:sz w:val="24"/>
          <w:szCs w:val="24"/>
        </w:rPr>
        <w:t>% соответственно.</w:t>
      </w:r>
    </w:p>
    <w:p w:rsidR="001E499A" w:rsidRDefault="001E499A" w:rsidP="001E499A">
      <w:pPr>
        <w:pStyle w:val="a5"/>
      </w:pPr>
      <w:r>
        <w:lastRenderedPageBreak/>
        <w:t>В</w:t>
      </w:r>
      <w:r w:rsidRPr="000A384B">
        <w:t xml:space="preserve"> товарной структуре экспорта</w:t>
      </w:r>
      <w:r>
        <w:t xml:space="preserve"> в 2016 году ведущую позицию неизменно</w:t>
      </w:r>
      <w:r w:rsidRPr="000A384B">
        <w:t xml:space="preserve"> сохраня</w:t>
      </w:r>
      <w:r>
        <w:t>ли</w:t>
      </w:r>
      <w:r w:rsidRPr="000A384B">
        <w:t xml:space="preserve"> топливно-энергетические товары</w:t>
      </w:r>
      <w:r>
        <w:t xml:space="preserve"> (35,3%)</w:t>
      </w:r>
      <w:r w:rsidRPr="000A384B">
        <w:t>, при</w:t>
      </w:r>
      <w:r>
        <w:t xml:space="preserve"> этом в денежном эквиваленте</w:t>
      </w:r>
      <w:r w:rsidRPr="000A384B">
        <w:t xml:space="preserve"> </w:t>
      </w:r>
      <w:r>
        <w:t>их</w:t>
      </w:r>
      <w:r w:rsidRPr="000A384B">
        <w:t xml:space="preserve"> объем </w:t>
      </w:r>
      <w:r>
        <w:t xml:space="preserve">сократился к базовому уровню 2015 года </w:t>
      </w:r>
      <w:r w:rsidRPr="000A384B">
        <w:t xml:space="preserve">на </w:t>
      </w:r>
      <w:r>
        <w:t>17,6</w:t>
      </w:r>
      <w:r w:rsidRPr="000A384B">
        <w:t xml:space="preserve">%, </w:t>
      </w:r>
      <w:r>
        <w:t>а долевое участие</w:t>
      </w:r>
      <w:r w:rsidRPr="000A384B">
        <w:t xml:space="preserve"> </w:t>
      </w:r>
      <w:r>
        <w:t xml:space="preserve">в товарной структуре сузилось </w:t>
      </w:r>
      <w:r w:rsidRPr="000A384B">
        <w:t xml:space="preserve">на </w:t>
      </w:r>
      <w:r>
        <w:t>1,9</w:t>
      </w:r>
      <w:r w:rsidRPr="000A384B">
        <w:t xml:space="preserve"> процентны</w:t>
      </w:r>
      <w:r>
        <w:t xml:space="preserve">х </w:t>
      </w:r>
      <w:r w:rsidRPr="000A384B">
        <w:t>пункт</w:t>
      </w:r>
      <w:r>
        <w:t>а</w:t>
      </w:r>
      <w:r w:rsidRPr="000A384B">
        <w:t>.</w:t>
      </w:r>
    </w:p>
    <w:p w:rsidR="001E499A" w:rsidRDefault="001E499A" w:rsidP="001E499A">
      <w:pPr>
        <w:pStyle w:val="a5"/>
      </w:pPr>
      <w:r>
        <w:t xml:space="preserve">Также лидирующую позицию приднестровского экспорта занимали </w:t>
      </w:r>
      <w:r w:rsidRPr="000A384B">
        <w:t>товар</w:t>
      </w:r>
      <w:r>
        <w:t>ы</w:t>
      </w:r>
      <w:r w:rsidRPr="000A384B">
        <w:t xml:space="preserve"> легкой промышленности (текстильные материалы, одежда, текстильные изделия, обувь)</w:t>
      </w:r>
      <w:r>
        <w:t>. Объем</w:t>
      </w:r>
      <w:r w:rsidRPr="000A384B">
        <w:t xml:space="preserve"> реализации за рубеж </w:t>
      </w:r>
      <w:r>
        <w:t>данной товарной категории увеличился</w:t>
      </w:r>
      <w:r w:rsidRPr="000A384B">
        <w:t xml:space="preserve"> на </w:t>
      </w:r>
      <w:r>
        <w:t>4,8</w:t>
      </w:r>
      <w:r w:rsidRPr="000A384B">
        <w:t>%</w:t>
      </w:r>
      <w:r>
        <w:t xml:space="preserve">, а долевое представительство в товарной структуре экспорта расширилось </w:t>
      </w:r>
      <w:r w:rsidRPr="000A384B">
        <w:t xml:space="preserve">на </w:t>
      </w:r>
      <w:r>
        <w:t xml:space="preserve">3,6 </w:t>
      </w:r>
      <w:r w:rsidRPr="000A384B">
        <w:t xml:space="preserve">процентных пункта до </w:t>
      </w:r>
      <w:r>
        <w:t>20,5%, преимущественно это произошло в результате увеличения продаж текстильных материалов и одежды на 14,3% и 34,6% соответственно.</w:t>
      </w:r>
    </w:p>
    <w:p w:rsidR="001E499A" w:rsidRDefault="001E499A" w:rsidP="001E499A">
      <w:pPr>
        <w:pStyle w:val="a5"/>
      </w:pPr>
      <w:r>
        <w:t>В рассматриваемом периоде м</w:t>
      </w:r>
      <w:r w:rsidRPr="00950176">
        <w:t>еталлы и изделия из них</w:t>
      </w:r>
      <w:r>
        <w:t xml:space="preserve"> сузили долевое представительство в товарной структуре экспорта на 5,1</w:t>
      </w:r>
      <w:r w:rsidRPr="006C71D2">
        <w:t xml:space="preserve"> </w:t>
      </w:r>
      <w:r>
        <w:t>процентных пункта до 16,2%, в денежном эквиваленте их величина уменьшилась к уровню 2015 года на 34,3%.</w:t>
      </w:r>
    </w:p>
    <w:p w:rsidR="001E499A" w:rsidRDefault="001E499A" w:rsidP="001E499A">
      <w:pPr>
        <w:pStyle w:val="a5"/>
      </w:pPr>
      <w:r>
        <w:t>Несмотря на сокращение э</w:t>
      </w:r>
      <w:r w:rsidRPr="00A16128">
        <w:t>кспорт</w:t>
      </w:r>
      <w:r>
        <w:t xml:space="preserve">а продовольственных </w:t>
      </w:r>
      <w:proofErr w:type="gramStart"/>
      <w:r>
        <w:t>товаров</w:t>
      </w:r>
      <w:proofErr w:type="gramEnd"/>
      <w:r>
        <w:t xml:space="preserve"> и сырья на 0,1% </w:t>
      </w:r>
      <w:r w:rsidRPr="00A16128">
        <w:t xml:space="preserve">к </w:t>
      </w:r>
      <w:r>
        <w:t>базовому</w:t>
      </w:r>
      <w:r w:rsidRPr="00A16128">
        <w:t xml:space="preserve"> периоду </w:t>
      </w:r>
      <w:r>
        <w:t>2015</w:t>
      </w:r>
      <w:r w:rsidRPr="00A16128">
        <w:t xml:space="preserve"> года,</w:t>
      </w:r>
      <w:r>
        <w:t xml:space="preserve"> их вклад в структуру экспорта расширился </w:t>
      </w:r>
      <w:r w:rsidRPr="00A16128">
        <w:t xml:space="preserve">на </w:t>
      </w:r>
      <w:r>
        <w:br/>
        <w:t>2,1</w:t>
      </w:r>
      <w:r w:rsidRPr="00A16128">
        <w:t xml:space="preserve"> процентны</w:t>
      </w:r>
      <w:r>
        <w:t>х</w:t>
      </w:r>
      <w:r w:rsidRPr="00A16128">
        <w:t xml:space="preserve"> пункт</w:t>
      </w:r>
      <w:r>
        <w:t>а до 15,9%.</w:t>
      </w:r>
    </w:p>
    <w:p w:rsidR="001E499A" w:rsidRPr="00B4073D" w:rsidRDefault="001E499A" w:rsidP="001E499A">
      <w:pPr>
        <w:pStyle w:val="a5"/>
        <w:rPr>
          <w:sz w:val="8"/>
          <w:szCs w:val="8"/>
        </w:rPr>
      </w:pPr>
    </w:p>
    <w:p w:rsidR="001E499A" w:rsidRDefault="001E499A" w:rsidP="001E499A">
      <w:pPr>
        <w:pStyle w:val="a3"/>
        <w:spacing w:before="0" w:beforeAutospacing="0" w:after="0" w:afterAutospacing="0"/>
        <w:jc w:val="center"/>
        <w:rPr>
          <w:b/>
        </w:rPr>
      </w:pPr>
      <w:r w:rsidRPr="0071462E">
        <w:rPr>
          <w:b/>
        </w:rPr>
        <w:t>Товарная структура экспорта, млн. долл. США</w:t>
      </w:r>
    </w:p>
    <w:p w:rsidR="001E499A" w:rsidRDefault="001E499A" w:rsidP="001E499A">
      <w:pPr>
        <w:pStyle w:val="a3"/>
        <w:spacing w:before="0" w:beforeAutospacing="0" w:after="0" w:afterAutospacing="0"/>
        <w:jc w:val="center"/>
        <w:rPr>
          <w:noProof/>
        </w:rPr>
      </w:pPr>
      <w:r w:rsidRPr="0095531D">
        <w:rPr>
          <w:b/>
          <w:noProof/>
        </w:rPr>
        <w:drawing>
          <wp:inline distT="0" distB="0" distL="0" distR="0">
            <wp:extent cx="5953125" cy="2438400"/>
            <wp:effectExtent l="0" t="0" r="0" b="0"/>
            <wp:docPr id="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499A" w:rsidRPr="00B4073D" w:rsidRDefault="001E499A" w:rsidP="001E499A">
      <w:pPr>
        <w:pStyle w:val="a5"/>
        <w:rPr>
          <w:sz w:val="8"/>
          <w:szCs w:val="8"/>
        </w:rPr>
      </w:pPr>
    </w:p>
    <w:p w:rsidR="001E499A" w:rsidRDefault="001E499A" w:rsidP="001E499A">
      <w:pPr>
        <w:pStyle w:val="a5"/>
      </w:pPr>
      <w:r>
        <w:t>В 2016 году объем поставляемых за рубеж минеральных продуктов возрос на 11,8%, а долевое участие в товарной структуре экспорта составило 5,3 процентных пунктов против 4,1 в январе-декабре 2015 года.</w:t>
      </w:r>
    </w:p>
    <w:p w:rsidR="001E499A" w:rsidRPr="00FA66BF" w:rsidRDefault="001E499A" w:rsidP="001E499A">
      <w:pPr>
        <w:pStyle w:val="a5"/>
      </w:pPr>
      <w:r w:rsidRPr="001F247C">
        <w:t>Экспорт</w:t>
      </w:r>
      <w:r w:rsidRPr="00FA66BF">
        <w:t xml:space="preserve"> машиностроительной продукции по отношению к уровню д</w:t>
      </w:r>
      <w:r>
        <w:t>венадцати</w:t>
      </w:r>
      <w:r w:rsidRPr="00FA66BF">
        <w:t xml:space="preserve"> месяцев </w:t>
      </w:r>
      <w:r>
        <w:t>2015</w:t>
      </w:r>
      <w:r w:rsidRPr="00FA66BF">
        <w:t xml:space="preserve"> года снизился на </w:t>
      </w:r>
      <w:r>
        <w:t>9,2</w:t>
      </w:r>
      <w:r w:rsidRPr="00FA66BF">
        <w:t xml:space="preserve">%, </w:t>
      </w:r>
      <w:r>
        <w:t>увеличив</w:t>
      </w:r>
      <w:r w:rsidRPr="00FA66BF">
        <w:t xml:space="preserve"> долевое представление в товарной структуре экспорта на 0,1 процентный пункт до 4,</w:t>
      </w:r>
      <w:r>
        <w:t>2</w:t>
      </w:r>
      <w:r w:rsidRPr="00FA66BF">
        <w:t>%.</w:t>
      </w:r>
    </w:p>
    <w:p w:rsidR="001E499A" w:rsidRPr="00B4073D" w:rsidRDefault="001E499A" w:rsidP="001E499A">
      <w:pPr>
        <w:pStyle w:val="a5"/>
        <w:rPr>
          <w:sz w:val="8"/>
          <w:szCs w:val="8"/>
        </w:rPr>
      </w:pPr>
    </w:p>
    <w:p w:rsidR="001E499A" w:rsidRPr="0071462E" w:rsidRDefault="001E499A" w:rsidP="001E499A">
      <w:pPr>
        <w:pStyle w:val="a3"/>
        <w:spacing w:before="0" w:beforeAutospacing="0" w:after="0" w:afterAutospacing="0"/>
        <w:ind w:left="-567"/>
      </w:pPr>
      <w:r w:rsidRPr="0071462E">
        <w:rPr>
          <w:noProof/>
        </w:rPr>
        <w:drawing>
          <wp:inline distT="0" distB="0" distL="0" distR="0">
            <wp:extent cx="6353175" cy="20478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499A" w:rsidRPr="00B4073D" w:rsidRDefault="001E499A" w:rsidP="001E499A">
      <w:pPr>
        <w:pStyle w:val="a5"/>
        <w:contextualSpacing/>
        <w:rPr>
          <w:sz w:val="8"/>
          <w:szCs w:val="8"/>
        </w:rPr>
      </w:pPr>
    </w:p>
    <w:p w:rsidR="001E499A" w:rsidRDefault="001E499A" w:rsidP="001E499A">
      <w:pPr>
        <w:pStyle w:val="a5"/>
        <w:contextualSpacing/>
      </w:pPr>
      <w:r>
        <w:rPr>
          <w:szCs w:val="24"/>
        </w:rPr>
        <w:t xml:space="preserve">В 2016 году </w:t>
      </w:r>
      <w:r>
        <w:t>основными партнерами отечественных экспортеров являлись</w:t>
      </w:r>
      <w:r w:rsidRPr="00CF3DDB">
        <w:t xml:space="preserve"> </w:t>
      </w:r>
      <w:r>
        <w:t xml:space="preserve">хозяйствующие субъекты </w:t>
      </w:r>
      <w:proofErr w:type="gramStart"/>
      <w:r>
        <w:t>из</w:t>
      </w:r>
      <w:proofErr w:type="gramEnd"/>
      <w:r>
        <w:t xml:space="preserve">: </w:t>
      </w:r>
      <w:proofErr w:type="gramStart"/>
      <w:r w:rsidRPr="000A384B">
        <w:t>Республик</w:t>
      </w:r>
      <w:r>
        <w:t>и</w:t>
      </w:r>
      <w:r w:rsidRPr="000A384B">
        <w:t xml:space="preserve"> Молдова (</w:t>
      </w:r>
      <w:r>
        <w:t>46,2</w:t>
      </w:r>
      <w:r w:rsidRPr="000A384B">
        <w:t xml:space="preserve">% совокупного экспорта, </w:t>
      </w:r>
      <w:r>
        <w:br/>
      </w:r>
      <w:r>
        <w:lastRenderedPageBreak/>
        <w:t>«-»18,3</w:t>
      </w:r>
      <w:r w:rsidRPr="000A384B">
        <w:t xml:space="preserve">% к </w:t>
      </w:r>
      <w:r>
        <w:t>базовому значению</w:t>
      </w:r>
      <w:r w:rsidRPr="000A384B">
        <w:t xml:space="preserve"> 2015 года)</w:t>
      </w:r>
      <w:r>
        <w:t xml:space="preserve">, </w:t>
      </w:r>
      <w:r w:rsidRPr="000A384B">
        <w:t>Украин</w:t>
      </w:r>
      <w:r>
        <w:t>ы</w:t>
      </w:r>
      <w:r w:rsidRPr="000A384B">
        <w:t xml:space="preserve"> (</w:t>
      </w:r>
      <w:r>
        <w:t>11,5</w:t>
      </w:r>
      <w:r w:rsidRPr="000A384B">
        <w:t xml:space="preserve">%, </w:t>
      </w:r>
      <w:r>
        <w:t>увеличение на 19,6% к уровню января – декабря</w:t>
      </w:r>
      <w:r w:rsidRPr="000A384B">
        <w:t xml:space="preserve"> 2015 года)</w:t>
      </w:r>
      <w:r>
        <w:t xml:space="preserve">, </w:t>
      </w:r>
      <w:r w:rsidRPr="000A384B">
        <w:t>Румыни</w:t>
      </w:r>
      <w:r>
        <w:t>и</w:t>
      </w:r>
      <w:r w:rsidRPr="000A384B">
        <w:t xml:space="preserve"> (</w:t>
      </w:r>
      <w:r>
        <w:t>11,4</w:t>
      </w:r>
      <w:r w:rsidRPr="000A384B">
        <w:t xml:space="preserve">%, </w:t>
      </w:r>
      <w:r>
        <w:t>сокращение</w:t>
      </w:r>
      <w:r w:rsidRPr="000A384B">
        <w:t xml:space="preserve"> </w:t>
      </w:r>
      <w:r>
        <w:t>на</w:t>
      </w:r>
      <w:r w:rsidRPr="000A384B">
        <w:t xml:space="preserve"> </w:t>
      </w:r>
      <w:r>
        <w:t>36,2%</w:t>
      </w:r>
      <w:r w:rsidRPr="000A384B">
        <w:t xml:space="preserve"> к </w:t>
      </w:r>
      <w:r>
        <w:t xml:space="preserve">аналогичной </w:t>
      </w:r>
      <w:r w:rsidRPr="000A384B">
        <w:t>величине 2015 года)</w:t>
      </w:r>
      <w:r>
        <w:t xml:space="preserve">, </w:t>
      </w:r>
      <w:r w:rsidRPr="000A384B">
        <w:t>Российск</w:t>
      </w:r>
      <w:r>
        <w:t>ой</w:t>
      </w:r>
      <w:r w:rsidRPr="000A384B">
        <w:t xml:space="preserve"> Федераци</w:t>
      </w:r>
      <w:r>
        <w:t>и</w:t>
      </w:r>
      <w:r w:rsidRPr="000A384B">
        <w:t xml:space="preserve"> (</w:t>
      </w:r>
      <w:r>
        <w:t>8,7</w:t>
      </w:r>
      <w:r w:rsidRPr="000A384B">
        <w:t>%, «-»</w:t>
      </w:r>
      <w:r>
        <w:t>3,0</w:t>
      </w:r>
      <w:r w:rsidRPr="000A384B">
        <w:t xml:space="preserve">% </w:t>
      </w:r>
      <w:r>
        <w:t xml:space="preserve">к сопоставимому </w:t>
      </w:r>
      <w:r w:rsidRPr="000A384B">
        <w:t>уровн</w:t>
      </w:r>
      <w:r>
        <w:t>ю</w:t>
      </w:r>
      <w:r w:rsidRPr="000A384B">
        <w:t xml:space="preserve"> 2015 года)</w:t>
      </w:r>
      <w:r>
        <w:t>,</w:t>
      </w:r>
      <w:r w:rsidRPr="009118AE">
        <w:t xml:space="preserve"> </w:t>
      </w:r>
      <w:r w:rsidRPr="000A384B">
        <w:t>Итали</w:t>
      </w:r>
      <w:r>
        <w:t>и</w:t>
      </w:r>
      <w:r w:rsidRPr="000A384B">
        <w:t xml:space="preserve"> (</w:t>
      </w:r>
      <w:r>
        <w:t>7,6%, «+»1,9</w:t>
      </w:r>
      <w:r w:rsidRPr="000A384B">
        <w:t xml:space="preserve">% к уровню января – </w:t>
      </w:r>
      <w:r>
        <w:t>декабря</w:t>
      </w:r>
      <w:r w:rsidRPr="000A384B">
        <w:t xml:space="preserve"> 2015 года)</w:t>
      </w:r>
      <w:r>
        <w:t>,</w:t>
      </w:r>
      <w:r w:rsidRPr="009118AE">
        <w:t xml:space="preserve"> </w:t>
      </w:r>
      <w:r w:rsidRPr="000A384B">
        <w:t>Германи</w:t>
      </w:r>
      <w:r>
        <w:t>и</w:t>
      </w:r>
      <w:r w:rsidRPr="000A384B">
        <w:t xml:space="preserve"> (</w:t>
      </w:r>
      <w:r>
        <w:t>5,5</w:t>
      </w:r>
      <w:r w:rsidRPr="000A384B">
        <w:t xml:space="preserve">%, </w:t>
      </w:r>
      <w:r>
        <w:t>снижение на 4,3</w:t>
      </w:r>
      <w:r w:rsidRPr="000A384B">
        <w:t xml:space="preserve">% к </w:t>
      </w:r>
      <w:r>
        <w:t>базовому уровню</w:t>
      </w:r>
      <w:r w:rsidRPr="000A384B">
        <w:t xml:space="preserve"> 2015 года</w:t>
      </w:r>
      <w:proofErr w:type="gramEnd"/>
      <w:r w:rsidRPr="000A384B">
        <w:t>)</w:t>
      </w:r>
      <w:r>
        <w:t>. Экспортные поставки в данные страны обеспечили 90,9% всех поставок за рубеж.</w:t>
      </w:r>
    </w:p>
    <w:p w:rsid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январе-декабре</w:t>
      </w:r>
      <w:r w:rsidRPr="00A16128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 xml:space="preserve"> года отрицательная динамика импортных операций существенно превышала темпы снижения экспорта, оказывая негативное воздействие на снижение совокупного объема внешнеторгового оборота республики. Понижение зафиксировано практически по всем категориям товарной структуры импорта. </w:t>
      </w:r>
    </w:p>
    <w:p w:rsid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ввоз </w:t>
      </w:r>
      <w:r w:rsidRPr="00986934">
        <w:rPr>
          <w:rFonts w:ascii="Times New Roman" w:hAnsi="Times New Roman" w:cs="Times New Roman"/>
          <w:sz w:val="24"/>
          <w:szCs w:val="24"/>
        </w:rPr>
        <w:t>топливно-энергетически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6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товаров, являющихся к</w:t>
      </w:r>
      <w:r w:rsidRPr="00986934">
        <w:rPr>
          <w:rFonts w:ascii="Times New Roman" w:hAnsi="Times New Roman" w:cs="Times New Roman"/>
          <w:sz w:val="24"/>
          <w:szCs w:val="24"/>
        </w:rPr>
        <w:t>рупнейш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86934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 xml:space="preserve">ей приднестровского </w:t>
      </w:r>
      <w:r w:rsidRPr="00986934">
        <w:rPr>
          <w:rFonts w:ascii="Times New Roman" w:hAnsi="Times New Roman" w:cs="Times New Roman"/>
          <w:sz w:val="24"/>
          <w:szCs w:val="24"/>
        </w:rPr>
        <w:t xml:space="preserve">импорта </w:t>
      </w:r>
      <w:r>
        <w:rPr>
          <w:rFonts w:ascii="Times New Roman" w:hAnsi="Times New Roman" w:cs="Times New Roman"/>
          <w:sz w:val="24"/>
          <w:szCs w:val="24"/>
        </w:rPr>
        <w:t xml:space="preserve">(47,7%), сократился на 28,9% к уровню двенадцати месяцев </w:t>
      </w:r>
      <w:r>
        <w:rPr>
          <w:rFonts w:ascii="Times New Roman" w:hAnsi="Times New Roman" w:cs="Times New Roman"/>
          <w:sz w:val="24"/>
          <w:szCs w:val="24"/>
        </w:rPr>
        <w:br/>
        <w:t>2015 года, а долевое представительство в товарной структуре сузилось на 2,8 процентных пункта.</w:t>
      </w:r>
    </w:p>
    <w:p w:rsidR="001E499A" w:rsidRDefault="001E499A" w:rsidP="001E499A">
      <w:pPr>
        <w:pStyle w:val="a5"/>
      </w:pPr>
      <w:r>
        <w:t>Импорт п</w:t>
      </w:r>
      <w:r w:rsidRPr="000A384B">
        <w:t>родовольственны</w:t>
      </w:r>
      <w:r>
        <w:t>х</w:t>
      </w:r>
      <w:r w:rsidRPr="000A384B">
        <w:t xml:space="preserve"> товар</w:t>
      </w:r>
      <w:r>
        <w:t>ов</w:t>
      </w:r>
      <w:r w:rsidRPr="000A384B">
        <w:t xml:space="preserve"> (сырь</w:t>
      </w:r>
      <w:r>
        <w:t>я</w:t>
      </w:r>
      <w:r w:rsidRPr="000A384B">
        <w:t xml:space="preserve">) </w:t>
      </w:r>
      <w:r>
        <w:t>в рассматриваемом периоде возрос на 2,8% к базовому уровню 2015 года</w:t>
      </w:r>
      <w:r w:rsidRPr="000A384B">
        <w:t xml:space="preserve">, при этом </w:t>
      </w:r>
      <w:r>
        <w:t xml:space="preserve">в товарной структуре импорта на их долю </w:t>
      </w:r>
      <w:r w:rsidRPr="000A384B">
        <w:t>при</w:t>
      </w:r>
      <w:r>
        <w:t>шлось</w:t>
      </w:r>
      <w:r w:rsidRPr="000A384B">
        <w:t xml:space="preserve"> </w:t>
      </w:r>
      <w:r>
        <w:t>12,0</w:t>
      </w:r>
      <w:r w:rsidRPr="000A384B">
        <w:t xml:space="preserve">% против </w:t>
      </w:r>
      <w:r>
        <w:t>8,8</w:t>
      </w:r>
      <w:r w:rsidRPr="000A384B">
        <w:t xml:space="preserve">% в </w:t>
      </w:r>
      <w:r>
        <w:t xml:space="preserve">январе-декабре 2015 </w:t>
      </w:r>
      <w:r w:rsidRPr="000A384B">
        <w:t>года</w:t>
      </w:r>
      <w:r>
        <w:t>.</w:t>
      </w:r>
      <w:r w:rsidRPr="000A384B">
        <w:t xml:space="preserve"> </w:t>
      </w:r>
    </w:p>
    <w:p w:rsidR="001E499A" w:rsidRDefault="001E499A" w:rsidP="001E499A">
      <w:pPr>
        <w:pStyle w:val="a5"/>
      </w:pPr>
      <w:r>
        <w:t>П</w:t>
      </w:r>
      <w:r w:rsidRPr="000A384B">
        <w:t xml:space="preserve">оставки </w:t>
      </w:r>
      <w:r>
        <w:t>из-за рубежа м</w:t>
      </w:r>
      <w:r w:rsidRPr="000A384B">
        <w:rPr>
          <w:szCs w:val="24"/>
        </w:rPr>
        <w:t>ашиностроительн</w:t>
      </w:r>
      <w:r>
        <w:rPr>
          <w:szCs w:val="24"/>
        </w:rPr>
        <w:t>ой</w:t>
      </w:r>
      <w:r w:rsidRPr="000A384B">
        <w:rPr>
          <w:szCs w:val="24"/>
        </w:rPr>
        <w:t xml:space="preserve"> продукци</w:t>
      </w:r>
      <w:r>
        <w:rPr>
          <w:szCs w:val="24"/>
        </w:rPr>
        <w:t>и</w:t>
      </w:r>
      <w:r w:rsidRPr="00A16128">
        <w:t xml:space="preserve"> в </w:t>
      </w:r>
      <w:r>
        <w:t>денежном эквиваленте</w:t>
      </w:r>
      <w:r w:rsidRPr="00A16128">
        <w:t xml:space="preserve"> сократил</w:t>
      </w:r>
      <w:r>
        <w:t>и</w:t>
      </w:r>
      <w:r w:rsidRPr="00A16128">
        <w:t>с</w:t>
      </w:r>
      <w:r>
        <w:t>ь</w:t>
      </w:r>
      <w:r w:rsidRPr="00A16128">
        <w:t xml:space="preserve"> на </w:t>
      </w:r>
      <w:r>
        <w:t>25,0%</w:t>
      </w:r>
      <w:r w:rsidRPr="000A384B">
        <w:rPr>
          <w:szCs w:val="24"/>
        </w:rPr>
        <w:t xml:space="preserve">, </w:t>
      </w:r>
      <w:r>
        <w:rPr>
          <w:szCs w:val="24"/>
        </w:rPr>
        <w:t xml:space="preserve">при этом </w:t>
      </w:r>
      <w:r>
        <w:t>долевое представительство в товарной структуре импорта осталось на уровне 2015 года, составив 10,4%.</w:t>
      </w:r>
    </w:p>
    <w:p w:rsidR="001E499A" w:rsidRDefault="001E499A" w:rsidP="001E499A">
      <w:pPr>
        <w:pStyle w:val="a5"/>
      </w:pPr>
      <w:r w:rsidRPr="001150A7">
        <w:rPr>
          <w:rFonts w:eastAsia="Times New Roman"/>
          <w:szCs w:val="24"/>
        </w:rPr>
        <w:t>Снижение производственной активности ОАО «Молдавский металлургический завод» привело к сокращению потребности предприятия в сырьевых материалах</w:t>
      </w:r>
      <w:r w:rsidRPr="001150A7">
        <w:t xml:space="preserve">, в результате чего импорт металлов и изделий из них сократился </w:t>
      </w:r>
      <w:r>
        <w:t xml:space="preserve">на 55,8% </w:t>
      </w:r>
      <w:r w:rsidRPr="001150A7">
        <w:t xml:space="preserve">к уровню </w:t>
      </w:r>
      <w:r>
        <w:br/>
      </w:r>
      <w:r w:rsidRPr="001150A7">
        <w:t>января–</w:t>
      </w:r>
      <w:r>
        <w:t xml:space="preserve">декабря </w:t>
      </w:r>
      <w:r w:rsidRPr="001150A7">
        <w:t xml:space="preserve">2015 года, сузив долевое представительство в товарной структуре на </w:t>
      </w:r>
      <w:r>
        <w:br/>
        <w:t>4,9 процентных пункта</w:t>
      </w:r>
      <w:r w:rsidRPr="001150A7">
        <w:t xml:space="preserve"> до </w:t>
      </w:r>
      <w:r>
        <w:t>7,0</w:t>
      </w:r>
      <w:r w:rsidRPr="001150A7">
        <w:t>%.</w:t>
      </w:r>
    </w:p>
    <w:p w:rsidR="001E499A" w:rsidRDefault="001E499A" w:rsidP="001E499A">
      <w:pPr>
        <w:pStyle w:val="a5"/>
        <w:ind w:firstLine="0"/>
      </w:pPr>
      <w:r w:rsidRPr="0071462E">
        <w:rPr>
          <w:noProof/>
        </w:rPr>
        <w:drawing>
          <wp:inline distT="0" distB="0" distL="0" distR="0">
            <wp:extent cx="6019800" cy="2314575"/>
            <wp:effectExtent l="0" t="0" r="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499A" w:rsidRPr="00FB6CD6" w:rsidRDefault="001E499A" w:rsidP="001E499A">
      <w:pPr>
        <w:pStyle w:val="a5"/>
        <w:rPr>
          <w:sz w:val="12"/>
          <w:szCs w:val="12"/>
        </w:rPr>
      </w:pPr>
    </w:p>
    <w:p w:rsidR="001E499A" w:rsidRDefault="001E499A" w:rsidP="001E499A">
      <w:pPr>
        <w:pStyle w:val="a5"/>
      </w:pPr>
      <w:r>
        <w:t>В январе</w:t>
      </w:r>
      <w:r w:rsidRPr="00F91103">
        <w:t>–</w:t>
      </w:r>
      <w:r>
        <w:t>декабре</w:t>
      </w:r>
      <w:r w:rsidRPr="00F91103">
        <w:t xml:space="preserve"> 2016 года импорт товаров легкой промышленности </w:t>
      </w:r>
      <w:r>
        <w:t xml:space="preserve">сократился к сопоставимому значению минувшего года на 2,0%, а долевое участие в товарной структуре импорта достигло 5,2% против 4,0% в аналогичном периоде 2015 года. </w:t>
      </w:r>
    </w:p>
    <w:p w:rsidR="001E499A" w:rsidRDefault="001E499A" w:rsidP="001E499A">
      <w:pPr>
        <w:pStyle w:val="a5"/>
      </w:pPr>
      <w:r>
        <w:t>Ввоз на территорию Республики фармацевтической продукции увеличился на 8,4% к уровню двенадцати месяцев 2015 года, расширив долевое участие на 0,9 процентных пунктов до 3,0%.</w:t>
      </w:r>
    </w:p>
    <w:p w:rsidR="001E499A" w:rsidRDefault="001E499A" w:rsidP="001E499A">
      <w:pPr>
        <w:pStyle w:val="a5"/>
      </w:pPr>
      <w:r w:rsidRPr="00950176">
        <w:t xml:space="preserve">Основными торговыми партнерами Приднестровья по </w:t>
      </w:r>
      <w:r>
        <w:t xml:space="preserve">импортным </w:t>
      </w:r>
      <w:r w:rsidRPr="00950176">
        <w:t xml:space="preserve">поставкам </w:t>
      </w:r>
      <w:r w:rsidRPr="000A384B">
        <w:rPr>
          <w:color w:val="000000"/>
        </w:rPr>
        <w:t xml:space="preserve">в обозначенном периоде выступали контрагенты </w:t>
      </w:r>
      <w:r>
        <w:rPr>
          <w:color w:val="000000"/>
        </w:rPr>
        <w:t xml:space="preserve">из </w:t>
      </w:r>
      <w:r w:rsidRPr="000A384B">
        <w:t>Российской Федерации (</w:t>
      </w:r>
      <w:r>
        <w:t>48,9</w:t>
      </w:r>
      <w:r w:rsidRPr="000A384B">
        <w:t xml:space="preserve">% совокупного импорта, «-» </w:t>
      </w:r>
      <w:r>
        <w:t>28,6</w:t>
      </w:r>
      <w:r w:rsidRPr="000A384B">
        <w:t>% к уровню базового показателя 2015 года), Украины (</w:t>
      </w:r>
      <w:r>
        <w:t>10,9</w:t>
      </w:r>
      <w:r w:rsidRPr="000A384B">
        <w:t>%, «-»</w:t>
      </w:r>
      <w:r>
        <w:t>42,2</w:t>
      </w:r>
      <w:r w:rsidRPr="000A384B">
        <w:t>%), Республики Молдова (</w:t>
      </w:r>
      <w:r>
        <w:t>8,5</w:t>
      </w:r>
      <w:r w:rsidRPr="000A384B">
        <w:t>%, «-»</w:t>
      </w:r>
      <w:r>
        <w:t>5,2</w:t>
      </w:r>
      <w:r w:rsidRPr="000A384B">
        <w:t>%), Германии (</w:t>
      </w:r>
      <w:r>
        <w:t>4,1</w:t>
      </w:r>
      <w:r w:rsidRPr="000A384B">
        <w:t>%, «-»</w:t>
      </w:r>
      <w:r>
        <w:t>25,4</w:t>
      </w:r>
      <w:r w:rsidRPr="000A384B">
        <w:t>%), Республики Беларусь (</w:t>
      </w:r>
      <w:r>
        <w:t>4,0</w:t>
      </w:r>
      <w:r w:rsidRPr="000A384B">
        <w:t xml:space="preserve">%, «-» </w:t>
      </w:r>
      <w:r>
        <w:t>28,7</w:t>
      </w:r>
      <w:r w:rsidRPr="000A384B">
        <w:t xml:space="preserve">%). </w:t>
      </w:r>
    </w:p>
    <w:p w:rsidR="001E499A" w:rsidRDefault="001E499A" w:rsidP="001E499A">
      <w:pPr>
        <w:pStyle w:val="a3"/>
        <w:spacing w:before="0" w:beforeAutospacing="0" w:after="0" w:afterAutospacing="0"/>
        <w:ind w:left="-567"/>
        <w:jc w:val="both"/>
      </w:pPr>
      <w:r w:rsidRPr="0071462E">
        <w:rPr>
          <w:noProof/>
        </w:rPr>
        <w:lastRenderedPageBreak/>
        <w:drawing>
          <wp:inline distT="0" distB="0" distL="0" distR="0">
            <wp:extent cx="6486525" cy="31527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E499A" w:rsidRPr="00ED6F3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1E499A" w:rsidRPr="001348C5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Влияние мировой общеэкономической конъюнктуры на фоне высокого уровня зависимости </w:t>
      </w:r>
      <w:r w:rsidRPr="000A384B">
        <w:rPr>
          <w:rFonts w:ascii="Times New Roman" w:hAnsi="Times New Roman"/>
          <w:sz w:val="24"/>
          <w:szCs w:val="24"/>
        </w:rPr>
        <w:t xml:space="preserve">экономики </w:t>
      </w:r>
      <w:r>
        <w:rPr>
          <w:rFonts w:ascii="Times New Roman" w:hAnsi="Times New Roman"/>
          <w:sz w:val="24"/>
          <w:szCs w:val="24"/>
        </w:rPr>
        <w:t>Приднестровья, как по товарам потребительского назначения, так и по сырьевым, в условиях существенного дефицита иностранной валюты обусловило сужение активности по внешнеторговым направлениям.</w:t>
      </w:r>
      <w:proofErr w:type="gramEnd"/>
    </w:p>
    <w:p w:rsidR="001E499A" w:rsidRDefault="001E499A" w:rsidP="006C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99A" w:rsidRP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499A">
        <w:rPr>
          <w:rFonts w:ascii="Times New Roman" w:hAnsi="Times New Roman"/>
          <w:b/>
          <w:sz w:val="24"/>
          <w:szCs w:val="24"/>
          <w:u w:val="single"/>
        </w:rPr>
        <w:t>Инфляционные процессы</w:t>
      </w:r>
    </w:p>
    <w:p w:rsidR="001E499A" w:rsidRP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99A">
        <w:rPr>
          <w:rFonts w:ascii="Times New Roman" w:hAnsi="Times New Roman"/>
          <w:sz w:val="24"/>
          <w:szCs w:val="24"/>
        </w:rPr>
        <w:t>В декабре 2016 года вектор цен на внутреннем потребительском рынке республики на фоне</w:t>
      </w:r>
      <w:r w:rsidRPr="001E499A">
        <w:rPr>
          <w:rFonts w:ascii="Times New Roman" w:hAnsi="Times New Roman"/>
          <w:sz w:val="24"/>
        </w:rPr>
        <w:t xml:space="preserve"> административных и сезонных факторов в совокупности с дисбалансом на валютном рынке проявил инфляционный характер на уровне 0,62%. В целом по итогам января-декабря 2016 года</w:t>
      </w:r>
      <w:r w:rsidRPr="001E499A">
        <w:rPr>
          <w:rFonts w:ascii="Times New Roman" w:hAnsi="Times New Roman"/>
          <w:b/>
          <w:sz w:val="24"/>
        </w:rPr>
        <w:t xml:space="preserve"> сводный индекс потребительских цен (инфляция) </w:t>
      </w:r>
      <w:r w:rsidRPr="001E499A">
        <w:rPr>
          <w:rFonts w:ascii="Times New Roman" w:hAnsi="Times New Roman"/>
          <w:sz w:val="24"/>
        </w:rPr>
        <w:t xml:space="preserve">зафиксирован на отметке </w:t>
      </w:r>
      <w:r w:rsidRPr="001E499A">
        <w:rPr>
          <w:rFonts w:ascii="Times New Roman" w:hAnsi="Times New Roman"/>
          <w:b/>
          <w:sz w:val="24"/>
          <w:szCs w:val="24"/>
        </w:rPr>
        <w:t>104,44%</w:t>
      </w:r>
      <w:r w:rsidRPr="001E499A">
        <w:rPr>
          <w:rFonts w:ascii="Times New Roman" w:hAnsi="Times New Roman"/>
          <w:sz w:val="24"/>
          <w:szCs w:val="24"/>
        </w:rPr>
        <w:t xml:space="preserve"> против 98,23% в январе-декабре 2015 года.</w:t>
      </w:r>
      <w:proofErr w:type="gramEnd"/>
    </w:p>
    <w:p w:rsidR="001E499A" w:rsidRP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99A" w:rsidRPr="001E499A" w:rsidRDefault="001E499A" w:rsidP="001E499A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1E499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6025" cy="2667000"/>
            <wp:effectExtent l="0" t="0" r="0" b="0"/>
            <wp:docPr id="1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E499A" w:rsidRDefault="001E499A" w:rsidP="001E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99A" w:rsidRPr="001E499A" w:rsidRDefault="001E499A" w:rsidP="001E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499A">
        <w:rPr>
          <w:rFonts w:ascii="Times New Roman" w:hAnsi="Times New Roman"/>
          <w:sz w:val="24"/>
          <w:szCs w:val="24"/>
        </w:rPr>
        <w:t>Динамика сводного индекса потребительских цен (инфляции) за предыдущие годы представлена в следующем виде:</w:t>
      </w:r>
    </w:p>
    <w:p w:rsidR="001E499A" w:rsidRPr="001E499A" w:rsidRDefault="001E499A" w:rsidP="001E49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1E499A">
        <w:rPr>
          <w:rFonts w:ascii="Times New Roman" w:hAnsi="Times New Roman"/>
          <w:bCs/>
          <w:noProof/>
          <w:color w:val="1F497D" w:themeColor="text2"/>
          <w:sz w:val="24"/>
          <w:shd w:val="clear" w:color="auto" w:fill="FFFFFF"/>
        </w:rPr>
        <w:lastRenderedPageBreak/>
        <w:drawing>
          <wp:inline distT="0" distB="0" distL="0" distR="0">
            <wp:extent cx="5924550" cy="2209800"/>
            <wp:effectExtent l="1905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499A" w:rsidRP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</w:pPr>
      <w:proofErr w:type="gramStart"/>
      <w:r w:rsidRPr="001E499A"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 xml:space="preserve">В продовольственном сегменте </w:t>
      </w:r>
      <w:r w:rsidRPr="001E499A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потребительского рынка </w:t>
      </w:r>
      <w:r w:rsidRPr="001E499A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в январе-декабре         2016 года </w:t>
      </w:r>
      <w:r w:rsidRPr="001E499A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влияние сезонного удорожания </w:t>
      </w:r>
      <w:r w:rsidRPr="001E499A">
        <w:rPr>
          <w:rFonts w:ascii="Times New Roman" w:hAnsi="Times New Roman"/>
          <w:bCs/>
          <w:color w:val="000000"/>
          <w:sz w:val="24"/>
          <w:shd w:val="clear" w:color="auto" w:fill="FFFFFF"/>
        </w:rPr>
        <w:t>стоимости мясопродуктов – на 11,45%, рыбопродуктов – на 8,95%, сахара – на 13,55%, яиц – на 25,82%, сыра – на 14,85%, масла растительного – на 3,96%, масла и жиров – на 8,72%, молока и молочной продукции –         на 5,71%, муки – на 3,48%, кондитерских изделий – на 3,36%, в совокупности с удешевлением плодоовощной продукции, включая картофель – на 13,37</w:t>
      </w:r>
      <w:proofErr w:type="gramEnd"/>
      <w:r w:rsidRPr="001E499A">
        <w:rPr>
          <w:rFonts w:ascii="Times New Roman" w:hAnsi="Times New Roman"/>
          <w:bCs/>
          <w:color w:val="000000"/>
          <w:sz w:val="24"/>
          <w:shd w:val="clear" w:color="auto" w:fill="FFFFFF"/>
        </w:rPr>
        <w:t>%,</w:t>
      </w:r>
      <w:r w:rsidRPr="001E499A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 маргарина и маргариновой продукции – на 7,72%, меда – на 2,03%, хлеба и хлебобулочных изделий – на 1,74%, майонезной продукции – на 1,44%, предопределило </w:t>
      </w:r>
      <w:r w:rsidRPr="001E499A"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>инфляцию в размере 3,80%</w:t>
      </w:r>
      <w:r w:rsidRPr="001E499A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 против дефляции «-»1,77% в январе-декабре 2015 года.</w:t>
      </w:r>
    </w:p>
    <w:p w:rsidR="001E499A" w:rsidRP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9A"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>В</w:t>
      </w:r>
      <w:r w:rsidRPr="001E499A">
        <w:rPr>
          <w:rFonts w:ascii="Times New Roman" w:hAnsi="Times New Roman" w:cs="Times New Roman"/>
          <w:bCs/>
          <w:i/>
          <w:color w:val="000000"/>
          <w:sz w:val="24"/>
          <w:shd w:val="clear" w:color="auto" w:fill="FFFFFF"/>
        </w:rPr>
        <w:t xml:space="preserve"> </w:t>
      </w:r>
      <w:r w:rsidRPr="001E499A">
        <w:rPr>
          <w:rFonts w:ascii="Times New Roman" w:eastAsia="Times New Roman" w:hAnsi="Times New Roman" w:cs="Times New Roman"/>
          <w:b/>
          <w:i/>
          <w:sz w:val="24"/>
          <w:szCs w:val="24"/>
        </w:rPr>
        <w:t>непродовольственном сегменте</w:t>
      </w:r>
      <w:r w:rsidRPr="001E49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499A">
        <w:rPr>
          <w:rFonts w:ascii="Times New Roman" w:eastAsia="Times New Roman" w:hAnsi="Times New Roman" w:cs="Times New Roman"/>
          <w:sz w:val="24"/>
          <w:szCs w:val="24"/>
        </w:rPr>
        <w:t xml:space="preserve">потребительского рынка дефляционные процессы на протяжении ряда лет, сменились ростом трендовой инфляции, что по итогам января-декабря 2016 года обусловило инфляционный фон в данном сегменте рынка до уровня </w:t>
      </w:r>
      <w:r w:rsidRPr="001E499A">
        <w:rPr>
          <w:rFonts w:ascii="Times New Roman" w:eastAsia="Times New Roman" w:hAnsi="Times New Roman" w:cs="Times New Roman"/>
          <w:b/>
          <w:i/>
          <w:sz w:val="24"/>
          <w:szCs w:val="24"/>
        </w:rPr>
        <w:t>6,88%</w:t>
      </w:r>
      <w:r w:rsidRPr="001E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99A">
        <w:rPr>
          <w:rFonts w:ascii="Times New Roman" w:hAnsi="Times New Roman" w:cs="Times New Roman"/>
          <w:sz w:val="24"/>
          <w:szCs w:val="24"/>
        </w:rPr>
        <w:t>(в январе</w:t>
      </w:r>
      <w:r w:rsidRPr="001E499A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-декабре</w:t>
      </w:r>
      <w:r w:rsidRPr="001E499A">
        <w:rPr>
          <w:rFonts w:ascii="Times New Roman" w:hAnsi="Times New Roman" w:cs="Times New Roman"/>
          <w:sz w:val="24"/>
          <w:szCs w:val="24"/>
        </w:rPr>
        <w:t xml:space="preserve"> 2015 года дефляция «-»3,12%).</w:t>
      </w:r>
      <w:r w:rsidRPr="001E499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всего, дорожали товары народного потребления, импортируемые на территорию республики. </w:t>
      </w:r>
      <w:proofErr w:type="gramStart"/>
      <w:r w:rsidRPr="001E499A">
        <w:rPr>
          <w:rFonts w:ascii="Times New Roman" w:hAnsi="Times New Roman" w:cs="Times New Roman"/>
          <w:sz w:val="24"/>
          <w:szCs w:val="24"/>
        </w:rPr>
        <w:t xml:space="preserve">В общей структуре данного сегмента выделяется удорожание стоимости табачных изделий –          на 27,31%, велосипедов – на 14,10%, ковров и ковровых изделий - на 14,32%, электротоваров и других бытовых приборов – на 14,45%, строительных материалов –       на 10,90%, а также печатных изданий – на 11,05%, вычислительной техники – на 9,70%, медикаментов – на 11,09%, </w:t>
      </w:r>
      <w:proofErr w:type="spellStart"/>
      <w:r w:rsidRPr="001E499A">
        <w:rPr>
          <w:rFonts w:ascii="Times New Roman" w:hAnsi="Times New Roman" w:cs="Times New Roman"/>
          <w:sz w:val="24"/>
          <w:szCs w:val="24"/>
        </w:rPr>
        <w:t>хозтоваров</w:t>
      </w:r>
      <w:proofErr w:type="spellEnd"/>
      <w:r w:rsidRPr="001E499A">
        <w:rPr>
          <w:rFonts w:ascii="Times New Roman" w:hAnsi="Times New Roman" w:cs="Times New Roman"/>
          <w:sz w:val="24"/>
          <w:szCs w:val="24"/>
        </w:rPr>
        <w:t xml:space="preserve"> – на 6,41%, топлива (бензина) – на 1,42%. В то же время отмечалось незначительное удешевление стоимости</w:t>
      </w:r>
      <w:proofErr w:type="gramEnd"/>
      <w:r w:rsidRPr="001E499A">
        <w:rPr>
          <w:rFonts w:ascii="Times New Roman" w:hAnsi="Times New Roman" w:cs="Times New Roman"/>
          <w:sz w:val="24"/>
          <w:szCs w:val="24"/>
        </w:rPr>
        <w:t xml:space="preserve"> тканей («-»0,18%).</w:t>
      </w:r>
    </w:p>
    <w:p w:rsidR="001E499A" w:rsidRPr="001E499A" w:rsidRDefault="001E499A" w:rsidP="001E4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E499A">
        <w:rPr>
          <w:rFonts w:ascii="Times New Roman" w:hAnsi="Times New Roman"/>
          <w:b/>
          <w:i/>
          <w:sz w:val="24"/>
          <w:szCs w:val="24"/>
        </w:rPr>
        <w:t>В сфере услуг</w:t>
      </w:r>
      <w:r w:rsidRPr="001E499A">
        <w:rPr>
          <w:rFonts w:ascii="Times New Roman" w:hAnsi="Times New Roman"/>
          <w:sz w:val="24"/>
          <w:szCs w:val="24"/>
        </w:rPr>
        <w:t xml:space="preserve"> в январе-декабре 2016 года был зафиксирован минимальный прирост тарифов </w:t>
      </w:r>
      <w:r w:rsidRPr="001E499A">
        <w:rPr>
          <w:rFonts w:ascii="Times New Roman" w:hAnsi="Times New Roman"/>
          <w:b/>
          <w:i/>
          <w:sz w:val="24"/>
          <w:szCs w:val="24"/>
        </w:rPr>
        <w:t>(«+»1,48%</w:t>
      </w:r>
      <w:r w:rsidRPr="001E499A">
        <w:rPr>
          <w:rFonts w:ascii="Times New Roman" w:hAnsi="Times New Roman"/>
          <w:sz w:val="24"/>
          <w:szCs w:val="24"/>
        </w:rPr>
        <w:t xml:space="preserve"> против «+»5,92% в январе-декабре 2015 года), что </w:t>
      </w:r>
      <w:r w:rsidRPr="001E499A">
        <w:rPr>
          <w:rFonts w:ascii="Times New Roman" w:eastAsia="Times New Roman" w:hAnsi="Times New Roman" w:cs="Times New Roman"/>
          <w:sz w:val="24"/>
          <w:szCs w:val="24"/>
        </w:rPr>
        <w:t>стало следствием принятых на государственном уровне решений о неосуществлении в 2016 году корректировок стоимости ключевых потребительских услуг в целях минимизации инфляционной нагрузки на население в условиях экономического кризиса. При этом к</w:t>
      </w:r>
      <w:r w:rsidRPr="001E499A">
        <w:rPr>
          <w:rFonts w:ascii="Times New Roman" w:hAnsi="Times New Roman" w:cs="Times New Roman"/>
          <w:sz w:val="24"/>
          <w:szCs w:val="24"/>
        </w:rPr>
        <w:t xml:space="preserve">лючевым фактором, формирующим инфляционный фон в сфере тарифов на услуги в анализируемом периоде, выступило </w:t>
      </w:r>
      <w:r w:rsidRPr="001E499A">
        <w:rPr>
          <w:rFonts w:ascii="Times New Roman" w:eastAsia="Calibri" w:hAnsi="Times New Roman" w:cs="Times New Roman"/>
          <w:sz w:val="24"/>
        </w:rPr>
        <w:t xml:space="preserve">повышение тарифов на услуги банков </w:t>
      </w:r>
      <w:r w:rsidRPr="001E499A">
        <w:rPr>
          <w:rFonts w:ascii="Times New Roman" w:eastAsia="Calibri" w:hAnsi="Times New Roman" w:cs="Times New Roman"/>
          <w:sz w:val="24"/>
        </w:rPr>
        <w:br/>
        <w:t xml:space="preserve">(«+»22,64%), медицинские услуги («+»13,34%), услуги пассажирского транспорта («+»12,32%), услуги дошкольного воспитания («+»6,36%), услуги правового характера («+»8,21%). В то же время подешевели санаторно-оздоровительные услуги на 5,46%, услуги связи на 3,36%, бытовые услуги на 1,37%. </w:t>
      </w:r>
    </w:p>
    <w:p w:rsidR="001E499A" w:rsidRP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E499A">
        <w:rPr>
          <w:rFonts w:ascii="Times New Roman" w:hAnsi="Times New Roman"/>
          <w:sz w:val="24"/>
        </w:rPr>
        <w:t xml:space="preserve">Таким образом, в январе-декабре 2016 года под влиянием </w:t>
      </w:r>
      <w:r w:rsidRPr="001E499A">
        <w:rPr>
          <w:rFonts w:ascii="Times New Roman" w:hAnsi="Times New Roman"/>
          <w:sz w:val="24"/>
          <w:szCs w:val="24"/>
        </w:rPr>
        <w:t xml:space="preserve">сезонных корректировок цен, а также сохраняющегося дисбаланса на валютном рынке в совокупности с проводимыми антиинфляционными мерами со стороны государства по оптимизации таможенной политики и тарифной политики в сфере естественных монополий </w:t>
      </w:r>
      <w:r w:rsidRPr="001E499A">
        <w:rPr>
          <w:rFonts w:ascii="Times New Roman" w:hAnsi="Times New Roman"/>
          <w:sz w:val="24"/>
        </w:rPr>
        <w:t>отмечается ускорение инфляционных процессов на внутреннем потребительском рынке.</w:t>
      </w:r>
    </w:p>
    <w:p w:rsidR="001E499A" w:rsidRPr="001E499A" w:rsidRDefault="001E499A" w:rsidP="001E499A">
      <w:pPr>
        <w:tabs>
          <w:tab w:val="left" w:pos="142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E499A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1E499A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1E499A">
        <w:rPr>
          <w:rFonts w:ascii="Times New Roman" w:hAnsi="Times New Roman"/>
          <w:i/>
          <w:sz w:val="24"/>
          <w:szCs w:val="24"/>
        </w:rPr>
        <w:t>:</w:t>
      </w:r>
      <w:r w:rsidRPr="001E499A">
        <w:rPr>
          <w:rFonts w:ascii="Times New Roman" w:hAnsi="Times New Roman"/>
          <w:sz w:val="24"/>
          <w:szCs w:val="24"/>
        </w:rPr>
        <w:t xml:space="preserve"> Сводный индекс потребительских цен (инфляция) в январе-декабре </w:t>
      </w:r>
      <w:r w:rsidRPr="001E499A">
        <w:rPr>
          <w:rFonts w:ascii="Times New Roman" w:hAnsi="Times New Roman"/>
          <w:sz w:val="24"/>
          <w:szCs w:val="24"/>
        </w:rPr>
        <w:br/>
        <w:t xml:space="preserve">2016 года в Приднестровской Молдавской Республике составил </w:t>
      </w:r>
      <w:r w:rsidRPr="001E499A">
        <w:rPr>
          <w:rFonts w:ascii="Times New Roman" w:hAnsi="Times New Roman" w:cs="Times New Roman"/>
          <w:sz w:val="24"/>
        </w:rPr>
        <w:t>104,4</w:t>
      </w:r>
      <w:r w:rsidRPr="001E499A">
        <w:rPr>
          <w:rFonts w:ascii="Times New Roman" w:hAnsi="Times New Roman"/>
          <w:sz w:val="24"/>
          <w:szCs w:val="24"/>
        </w:rPr>
        <w:t>%, в Республике Молдова составил 102,4%, в Украине – 112,4%, в Российской Федерации – 105,4%,             в Республике Беларусь – 110,6%, в Казахстане – 108,5%.</w:t>
      </w:r>
    </w:p>
    <w:p w:rsidR="001E499A" w:rsidRPr="001E499A" w:rsidRDefault="001E499A" w:rsidP="001E49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499A">
        <w:rPr>
          <w:rFonts w:ascii="Times New Roman" w:hAnsi="Times New Roman"/>
          <w:sz w:val="24"/>
          <w:szCs w:val="24"/>
        </w:rPr>
        <w:lastRenderedPageBreak/>
        <w:t>Таблица №</w:t>
      </w:r>
      <w:r>
        <w:rPr>
          <w:rFonts w:ascii="Times New Roman" w:hAnsi="Times New Roman"/>
          <w:sz w:val="24"/>
          <w:szCs w:val="24"/>
        </w:rPr>
        <w:t>1</w:t>
      </w:r>
    </w:p>
    <w:p w:rsidR="001E499A" w:rsidRPr="001E499A" w:rsidRDefault="001E499A" w:rsidP="001E499A">
      <w:pPr>
        <w:spacing w:after="0" w:line="240" w:lineRule="auto"/>
        <w:jc w:val="center"/>
        <w:rPr>
          <w:rFonts w:ascii="Times New Roman" w:hAnsi="Times New Roman"/>
        </w:rPr>
      </w:pPr>
      <w:r w:rsidRPr="001E499A">
        <w:rPr>
          <w:rFonts w:ascii="Times New Roman" w:hAnsi="Times New Roman"/>
          <w:b/>
        </w:rPr>
        <w:t>Сравнительная динамика цен в разрезе стран СНГ в 2016 году, %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1134"/>
        <w:gridCol w:w="1134"/>
        <w:gridCol w:w="1412"/>
        <w:gridCol w:w="1139"/>
        <w:gridCol w:w="1135"/>
      </w:tblGrid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/>
                <w:b/>
                <w:lang w:eastAsia="en-US"/>
              </w:rPr>
              <w:t>ПМР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/>
                <w:b/>
                <w:lang w:eastAsia="en-US"/>
              </w:rPr>
              <w:t>Молдова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/>
                <w:b/>
                <w:lang w:eastAsia="en-US"/>
              </w:rPr>
              <w:t>Украина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/>
                <w:b/>
                <w:lang w:eastAsia="en-US"/>
              </w:rPr>
              <w:t>Российская Федерация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/>
                <w:b/>
                <w:lang w:eastAsia="en-US"/>
              </w:rPr>
              <w:t>Беларусь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99A" w:rsidRPr="001E499A" w:rsidRDefault="001E499A" w:rsidP="001E499A">
            <w:pPr>
              <w:spacing w:after="0" w:line="240" w:lineRule="auto"/>
              <w:ind w:hanging="10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/>
                <w:b/>
                <w:lang w:eastAsia="en-US"/>
              </w:rPr>
              <w:t>Казахстан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/>
                <w:i/>
                <w:lang w:eastAsia="en-US"/>
              </w:rPr>
              <w:t>Темпы роста цен на продовольственные товары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/>
                <w:i/>
                <w:lang w:eastAsia="en-US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/>
                <w:i/>
                <w:lang w:eastAsia="en-US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/>
                <w:i/>
                <w:lang w:eastAsia="en-US"/>
              </w:rPr>
              <w:t>103,3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/>
                <w:i/>
                <w:lang w:eastAsia="en-US"/>
              </w:rPr>
              <w:t>104,6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/>
                <w:i/>
                <w:lang w:eastAsia="en-US"/>
              </w:rPr>
              <w:t>110,4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/>
                <w:i/>
                <w:lang w:eastAsia="en-US"/>
              </w:rPr>
              <w:t>109,7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E499A">
              <w:rPr>
                <w:rFonts w:ascii="Times New Roman" w:eastAsia="Calibri" w:hAnsi="Times New Roman"/>
                <w:lang w:eastAsia="en-US"/>
              </w:rPr>
              <w:t xml:space="preserve">  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 xml:space="preserve">   мясо и мясопродукты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101,6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105,9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100,1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84,5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115,6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овощи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71,4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86,5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99,7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tabs>
                <w:tab w:val="left" w:pos="284"/>
              </w:tabs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фрукты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96,0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105,2</w:t>
            </w:r>
          </w:p>
        </w:tc>
      </w:tr>
      <w:tr w:rsidR="001E499A" w:rsidRPr="001E499A" w:rsidTr="00C76D47">
        <w:trPr>
          <w:trHeight w:val="15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9A" w:rsidRPr="001E499A" w:rsidRDefault="001E499A" w:rsidP="001E499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103,4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111,9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молоко и молочная продукция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123,3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109,5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107,1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123,2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117,0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99,3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120,3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Темпы роста цен на непродовольственные товары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106,5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109,5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медикаменты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106,4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104,9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117,7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топливо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119,5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103,8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lang w:eastAsia="en-US"/>
              </w:rPr>
              <w:t>107,0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Темпы роста тарифов на услуги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104,9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117,6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FA0FE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A0FEA">
              <w:rPr>
                <w:rFonts w:ascii="Times New Roman" w:eastAsia="Calibri" w:hAnsi="Times New Roman" w:cs="Times New Roman"/>
                <w:i/>
                <w:lang w:eastAsia="en-US"/>
              </w:rPr>
              <w:t>106,1</w:t>
            </w:r>
          </w:p>
        </w:tc>
      </w:tr>
      <w:tr w:rsidR="001E499A" w:rsidRPr="001E499A" w:rsidTr="00C76D47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Сводные темпы роста потребительских цен</w:t>
            </w:r>
          </w:p>
          <w:p w:rsidR="001E499A" w:rsidRPr="001E499A" w:rsidRDefault="001E499A" w:rsidP="001E4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(инфляция)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b/>
                <w:lang w:eastAsia="en-US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b/>
                <w:lang w:eastAsia="en-US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b/>
                <w:lang w:eastAsia="en-US"/>
              </w:rPr>
              <w:t>112,4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b/>
                <w:lang w:eastAsia="en-US"/>
              </w:rPr>
              <w:t>105,4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b/>
                <w:lang w:eastAsia="en-US"/>
              </w:rPr>
              <w:t>110,6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9A" w:rsidRPr="001E499A" w:rsidRDefault="001E499A" w:rsidP="001E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499A">
              <w:rPr>
                <w:rFonts w:ascii="Times New Roman" w:eastAsia="Calibri" w:hAnsi="Times New Roman" w:cs="Times New Roman"/>
                <w:b/>
                <w:lang w:eastAsia="en-US"/>
              </w:rPr>
              <w:t>108,5</w:t>
            </w:r>
          </w:p>
        </w:tc>
      </w:tr>
    </w:tbl>
    <w:p w:rsidR="001E499A" w:rsidRPr="001E499A" w:rsidRDefault="001E499A" w:rsidP="001E49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E499A" w:rsidRPr="001E499A" w:rsidSect="00AE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DEC"/>
    <w:rsid w:val="00001C29"/>
    <w:rsid w:val="00003746"/>
    <w:rsid w:val="00017592"/>
    <w:rsid w:val="000219A4"/>
    <w:rsid w:val="0002279E"/>
    <w:rsid w:val="000305E9"/>
    <w:rsid w:val="0003062F"/>
    <w:rsid w:val="00037B3D"/>
    <w:rsid w:val="000405C5"/>
    <w:rsid w:val="00044C6D"/>
    <w:rsid w:val="00047577"/>
    <w:rsid w:val="00056431"/>
    <w:rsid w:val="00061793"/>
    <w:rsid w:val="00063B8E"/>
    <w:rsid w:val="00064B31"/>
    <w:rsid w:val="00076BB3"/>
    <w:rsid w:val="00081D04"/>
    <w:rsid w:val="000846D9"/>
    <w:rsid w:val="000909D1"/>
    <w:rsid w:val="000961CF"/>
    <w:rsid w:val="000A4735"/>
    <w:rsid w:val="000B437C"/>
    <w:rsid w:val="000B5425"/>
    <w:rsid w:val="000C3CCD"/>
    <w:rsid w:val="000D23C3"/>
    <w:rsid w:val="000D3CC2"/>
    <w:rsid w:val="000E09F9"/>
    <w:rsid w:val="000E280E"/>
    <w:rsid w:val="000F2186"/>
    <w:rsid w:val="000F26E5"/>
    <w:rsid w:val="001020FF"/>
    <w:rsid w:val="001041A7"/>
    <w:rsid w:val="0011037F"/>
    <w:rsid w:val="00114233"/>
    <w:rsid w:val="0011547A"/>
    <w:rsid w:val="0011718F"/>
    <w:rsid w:val="001368DD"/>
    <w:rsid w:val="001440EC"/>
    <w:rsid w:val="00151AEC"/>
    <w:rsid w:val="00155790"/>
    <w:rsid w:val="00160485"/>
    <w:rsid w:val="00160924"/>
    <w:rsid w:val="00180E5D"/>
    <w:rsid w:val="00184255"/>
    <w:rsid w:val="00185AE9"/>
    <w:rsid w:val="0019048F"/>
    <w:rsid w:val="001927F2"/>
    <w:rsid w:val="00196DA0"/>
    <w:rsid w:val="00196FC1"/>
    <w:rsid w:val="001B0022"/>
    <w:rsid w:val="001B3B72"/>
    <w:rsid w:val="001B6369"/>
    <w:rsid w:val="001C7C2C"/>
    <w:rsid w:val="001D1EFC"/>
    <w:rsid w:val="001D4CEE"/>
    <w:rsid w:val="001D4F01"/>
    <w:rsid w:val="001E2784"/>
    <w:rsid w:val="001E499A"/>
    <w:rsid w:val="001F6A87"/>
    <w:rsid w:val="001F6FD6"/>
    <w:rsid w:val="002028CE"/>
    <w:rsid w:val="00202E11"/>
    <w:rsid w:val="00211A7D"/>
    <w:rsid w:val="0021585C"/>
    <w:rsid w:val="002164E9"/>
    <w:rsid w:val="00217234"/>
    <w:rsid w:val="00220412"/>
    <w:rsid w:val="00222343"/>
    <w:rsid w:val="00222865"/>
    <w:rsid w:val="00226A88"/>
    <w:rsid w:val="00230981"/>
    <w:rsid w:val="002310E0"/>
    <w:rsid w:val="002377E0"/>
    <w:rsid w:val="00253D67"/>
    <w:rsid w:val="00263D1A"/>
    <w:rsid w:val="00282ABE"/>
    <w:rsid w:val="002912A1"/>
    <w:rsid w:val="002A2B79"/>
    <w:rsid w:val="002B64F4"/>
    <w:rsid w:val="002C260E"/>
    <w:rsid w:val="002C460A"/>
    <w:rsid w:val="002D296E"/>
    <w:rsid w:val="002D6C59"/>
    <w:rsid w:val="002E6176"/>
    <w:rsid w:val="002F1C11"/>
    <w:rsid w:val="00301D42"/>
    <w:rsid w:val="00302FAD"/>
    <w:rsid w:val="0031204F"/>
    <w:rsid w:val="0033315E"/>
    <w:rsid w:val="003341A3"/>
    <w:rsid w:val="00340151"/>
    <w:rsid w:val="00341FC0"/>
    <w:rsid w:val="00343FF7"/>
    <w:rsid w:val="00344D8A"/>
    <w:rsid w:val="003501DF"/>
    <w:rsid w:val="00352E74"/>
    <w:rsid w:val="003621AA"/>
    <w:rsid w:val="0036301F"/>
    <w:rsid w:val="0036563E"/>
    <w:rsid w:val="003725B8"/>
    <w:rsid w:val="0037290E"/>
    <w:rsid w:val="003775CD"/>
    <w:rsid w:val="0038795A"/>
    <w:rsid w:val="00391389"/>
    <w:rsid w:val="00394E6B"/>
    <w:rsid w:val="00395172"/>
    <w:rsid w:val="003A3A1C"/>
    <w:rsid w:val="003B26CC"/>
    <w:rsid w:val="003B440E"/>
    <w:rsid w:val="003B638E"/>
    <w:rsid w:val="003B657A"/>
    <w:rsid w:val="003B7054"/>
    <w:rsid w:val="003C1EB9"/>
    <w:rsid w:val="003D1646"/>
    <w:rsid w:val="003D7D52"/>
    <w:rsid w:val="003E4141"/>
    <w:rsid w:val="003E51B2"/>
    <w:rsid w:val="003E5C7A"/>
    <w:rsid w:val="003F71A2"/>
    <w:rsid w:val="004007C8"/>
    <w:rsid w:val="00414B3A"/>
    <w:rsid w:val="004161DC"/>
    <w:rsid w:val="00416A2B"/>
    <w:rsid w:val="00420994"/>
    <w:rsid w:val="00422BEF"/>
    <w:rsid w:val="00426D9F"/>
    <w:rsid w:val="00433103"/>
    <w:rsid w:val="004405CC"/>
    <w:rsid w:val="004414F4"/>
    <w:rsid w:val="004616D9"/>
    <w:rsid w:val="00463945"/>
    <w:rsid w:val="004674C5"/>
    <w:rsid w:val="004767EF"/>
    <w:rsid w:val="004769DC"/>
    <w:rsid w:val="00476D0B"/>
    <w:rsid w:val="004827FE"/>
    <w:rsid w:val="00483DF6"/>
    <w:rsid w:val="00486D8C"/>
    <w:rsid w:val="00490F9C"/>
    <w:rsid w:val="00491608"/>
    <w:rsid w:val="004924D1"/>
    <w:rsid w:val="00495EB6"/>
    <w:rsid w:val="00496024"/>
    <w:rsid w:val="004A0E79"/>
    <w:rsid w:val="004A1B66"/>
    <w:rsid w:val="004A3C58"/>
    <w:rsid w:val="004A49DC"/>
    <w:rsid w:val="004A5D65"/>
    <w:rsid w:val="004B1F57"/>
    <w:rsid w:val="004B22DD"/>
    <w:rsid w:val="004B4A53"/>
    <w:rsid w:val="004B54C2"/>
    <w:rsid w:val="004B5CD4"/>
    <w:rsid w:val="004F0C35"/>
    <w:rsid w:val="004F3F9B"/>
    <w:rsid w:val="004F7E99"/>
    <w:rsid w:val="00507776"/>
    <w:rsid w:val="005114AC"/>
    <w:rsid w:val="0051619B"/>
    <w:rsid w:val="0051689D"/>
    <w:rsid w:val="0051770E"/>
    <w:rsid w:val="00520BA6"/>
    <w:rsid w:val="00527C9D"/>
    <w:rsid w:val="00530559"/>
    <w:rsid w:val="00530F38"/>
    <w:rsid w:val="00531827"/>
    <w:rsid w:val="0053494D"/>
    <w:rsid w:val="005400AA"/>
    <w:rsid w:val="0054024A"/>
    <w:rsid w:val="00540C2F"/>
    <w:rsid w:val="00542C6E"/>
    <w:rsid w:val="0054698C"/>
    <w:rsid w:val="0055615F"/>
    <w:rsid w:val="00556168"/>
    <w:rsid w:val="00563846"/>
    <w:rsid w:val="00566734"/>
    <w:rsid w:val="005679DD"/>
    <w:rsid w:val="0057637B"/>
    <w:rsid w:val="005816E1"/>
    <w:rsid w:val="005846BF"/>
    <w:rsid w:val="005935BB"/>
    <w:rsid w:val="00594CFC"/>
    <w:rsid w:val="00595C20"/>
    <w:rsid w:val="005A0F36"/>
    <w:rsid w:val="005A70DA"/>
    <w:rsid w:val="005B15FA"/>
    <w:rsid w:val="005B3C55"/>
    <w:rsid w:val="005C2454"/>
    <w:rsid w:val="005C4664"/>
    <w:rsid w:val="005E4946"/>
    <w:rsid w:val="005F204F"/>
    <w:rsid w:val="005F4659"/>
    <w:rsid w:val="006110BB"/>
    <w:rsid w:val="00611366"/>
    <w:rsid w:val="006119B5"/>
    <w:rsid w:val="00612D8A"/>
    <w:rsid w:val="006249B6"/>
    <w:rsid w:val="00633CD1"/>
    <w:rsid w:val="006422D2"/>
    <w:rsid w:val="00650967"/>
    <w:rsid w:val="0065102A"/>
    <w:rsid w:val="006512C3"/>
    <w:rsid w:val="00652C27"/>
    <w:rsid w:val="0066346E"/>
    <w:rsid w:val="00665124"/>
    <w:rsid w:val="00672D5B"/>
    <w:rsid w:val="006769F4"/>
    <w:rsid w:val="00676F42"/>
    <w:rsid w:val="0067709A"/>
    <w:rsid w:val="0069027B"/>
    <w:rsid w:val="006B2DA7"/>
    <w:rsid w:val="006B31F8"/>
    <w:rsid w:val="006B60B9"/>
    <w:rsid w:val="006C2B82"/>
    <w:rsid w:val="006C75AC"/>
    <w:rsid w:val="006D15B4"/>
    <w:rsid w:val="006D15C4"/>
    <w:rsid w:val="006D4D54"/>
    <w:rsid w:val="006D6433"/>
    <w:rsid w:val="006E51AF"/>
    <w:rsid w:val="006E6475"/>
    <w:rsid w:val="006F0E69"/>
    <w:rsid w:val="006F10C2"/>
    <w:rsid w:val="006F40CA"/>
    <w:rsid w:val="006F4A01"/>
    <w:rsid w:val="006F4E82"/>
    <w:rsid w:val="006F624C"/>
    <w:rsid w:val="007044FC"/>
    <w:rsid w:val="007075A0"/>
    <w:rsid w:val="00720DE3"/>
    <w:rsid w:val="00724B62"/>
    <w:rsid w:val="007278EA"/>
    <w:rsid w:val="0073158C"/>
    <w:rsid w:val="0073222B"/>
    <w:rsid w:val="007413D3"/>
    <w:rsid w:val="0075034F"/>
    <w:rsid w:val="0075038C"/>
    <w:rsid w:val="00750798"/>
    <w:rsid w:val="007610CA"/>
    <w:rsid w:val="007708BE"/>
    <w:rsid w:val="00770AE3"/>
    <w:rsid w:val="007718D3"/>
    <w:rsid w:val="007A3CFD"/>
    <w:rsid w:val="007A59FD"/>
    <w:rsid w:val="007A70F7"/>
    <w:rsid w:val="007B1C68"/>
    <w:rsid w:val="007B4DB3"/>
    <w:rsid w:val="007C2396"/>
    <w:rsid w:val="007C58F9"/>
    <w:rsid w:val="007D6ED3"/>
    <w:rsid w:val="007E3331"/>
    <w:rsid w:val="007E4805"/>
    <w:rsid w:val="007E6E2C"/>
    <w:rsid w:val="007F6E9D"/>
    <w:rsid w:val="008006DF"/>
    <w:rsid w:val="00805EA8"/>
    <w:rsid w:val="00813052"/>
    <w:rsid w:val="00813DE2"/>
    <w:rsid w:val="0081400F"/>
    <w:rsid w:val="00824AC7"/>
    <w:rsid w:val="008309DB"/>
    <w:rsid w:val="00850B75"/>
    <w:rsid w:val="00855038"/>
    <w:rsid w:val="008576D0"/>
    <w:rsid w:val="00875091"/>
    <w:rsid w:val="008767CF"/>
    <w:rsid w:val="008770F3"/>
    <w:rsid w:val="00882179"/>
    <w:rsid w:val="0089178D"/>
    <w:rsid w:val="00891FE2"/>
    <w:rsid w:val="00895782"/>
    <w:rsid w:val="008A2664"/>
    <w:rsid w:val="008A501A"/>
    <w:rsid w:val="008B04C2"/>
    <w:rsid w:val="008B352D"/>
    <w:rsid w:val="008B5D2D"/>
    <w:rsid w:val="008C0939"/>
    <w:rsid w:val="008C6345"/>
    <w:rsid w:val="008E2FBC"/>
    <w:rsid w:val="008E3229"/>
    <w:rsid w:val="008E7938"/>
    <w:rsid w:val="008F14C7"/>
    <w:rsid w:val="008F75CA"/>
    <w:rsid w:val="0090409C"/>
    <w:rsid w:val="009129F9"/>
    <w:rsid w:val="009248E8"/>
    <w:rsid w:val="00930AFC"/>
    <w:rsid w:val="00932F18"/>
    <w:rsid w:val="00945FAF"/>
    <w:rsid w:val="00946D12"/>
    <w:rsid w:val="0095035B"/>
    <w:rsid w:val="00951371"/>
    <w:rsid w:val="0095457B"/>
    <w:rsid w:val="00965827"/>
    <w:rsid w:val="009659C0"/>
    <w:rsid w:val="00965F28"/>
    <w:rsid w:val="00966CAD"/>
    <w:rsid w:val="009722ED"/>
    <w:rsid w:val="00975C18"/>
    <w:rsid w:val="00976210"/>
    <w:rsid w:val="0098383C"/>
    <w:rsid w:val="00983EF3"/>
    <w:rsid w:val="009842F7"/>
    <w:rsid w:val="00984747"/>
    <w:rsid w:val="0098743A"/>
    <w:rsid w:val="00991840"/>
    <w:rsid w:val="00995C97"/>
    <w:rsid w:val="00997A37"/>
    <w:rsid w:val="009A6344"/>
    <w:rsid w:val="009B00EF"/>
    <w:rsid w:val="009C306B"/>
    <w:rsid w:val="009C5460"/>
    <w:rsid w:val="009D69B2"/>
    <w:rsid w:val="009E64E1"/>
    <w:rsid w:val="009F0330"/>
    <w:rsid w:val="009F2901"/>
    <w:rsid w:val="009F47F9"/>
    <w:rsid w:val="009F519D"/>
    <w:rsid w:val="009F5988"/>
    <w:rsid w:val="009F64DA"/>
    <w:rsid w:val="009F7867"/>
    <w:rsid w:val="009F7C3B"/>
    <w:rsid w:val="00A06EF2"/>
    <w:rsid w:val="00A115BA"/>
    <w:rsid w:val="00A11669"/>
    <w:rsid w:val="00A24491"/>
    <w:rsid w:val="00A30D3D"/>
    <w:rsid w:val="00A32D66"/>
    <w:rsid w:val="00A36670"/>
    <w:rsid w:val="00A46D37"/>
    <w:rsid w:val="00A52E23"/>
    <w:rsid w:val="00A60A8D"/>
    <w:rsid w:val="00A626A3"/>
    <w:rsid w:val="00A66695"/>
    <w:rsid w:val="00A700B7"/>
    <w:rsid w:val="00A7173D"/>
    <w:rsid w:val="00A7366B"/>
    <w:rsid w:val="00A76A04"/>
    <w:rsid w:val="00A76FCB"/>
    <w:rsid w:val="00A81BFA"/>
    <w:rsid w:val="00A831AD"/>
    <w:rsid w:val="00A83585"/>
    <w:rsid w:val="00A835C5"/>
    <w:rsid w:val="00A86B25"/>
    <w:rsid w:val="00A87EB2"/>
    <w:rsid w:val="00A90777"/>
    <w:rsid w:val="00A95E15"/>
    <w:rsid w:val="00A973A6"/>
    <w:rsid w:val="00AB066E"/>
    <w:rsid w:val="00AB26E2"/>
    <w:rsid w:val="00AC1BD7"/>
    <w:rsid w:val="00AC5F52"/>
    <w:rsid w:val="00AC71C1"/>
    <w:rsid w:val="00AD0632"/>
    <w:rsid w:val="00AE6915"/>
    <w:rsid w:val="00AE6C27"/>
    <w:rsid w:val="00AE772B"/>
    <w:rsid w:val="00AF09A4"/>
    <w:rsid w:val="00AF2ACC"/>
    <w:rsid w:val="00B32A9A"/>
    <w:rsid w:val="00B3408A"/>
    <w:rsid w:val="00B44A18"/>
    <w:rsid w:val="00B453C6"/>
    <w:rsid w:val="00B56A25"/>
    <w:rsid w:val="00B6607C"/>
    <w:rsid w:val="00B77D40"/>
    <w:rsid w:val="00B83348"/>
    <w:rsid w:val="00B84FFA"/>
    <w:rsid w:val="00B92595"/>
    <w:rsid w:val="00B92921"/>
    <w:rsid w:val="00BA7046"/>
    <w:rsid w:val="00BB015C"/>
    <w:rsid w:val="00BB77E4"/>
    <w:rsid w:val="00BC0A2E"/>
    <w:rsid w:val="00BC2256"/>
    <w:rsid w:val="00BC7CB9"/>
    <w:rsid w:val="00BD079B"/>
    <w:rsid w:val="00BD163C"/>
    <w:rsid w:val="00BD28DE"/>
    <w:rsid w:val="00BD6BCB"/>
    <w:rsid w:val="00BE295F"/>
    <w:rsid w:val="00BE6CB2"/>
    <w:rsid w:val="00BE7610"/>
    <w:rsid w:val="00BE7A01"/>
    <w:rsid w:val="00BF0F55"/>
    <w:rsid w:val="00BF28FE"/>
    <w:rsid w:val="00BF62F2"/>
    <w:rsid w:val="00C0172E"/>
    <w:rsid w:val="00C02823"/>
    <w:rsid w:val="00C03DCE"/>
    <w:rsid w:val="00C05B5D"/>
    <w:rsid w:val="00C077EF"/>
    <w:rsid w:val="00C101F5"/>
    <w:rsid w:val="00C1644B"/>
    <w:rsid w:val="00C228AA"/>
    <w:rsid w:val="00C2300D"/>
    <w:rsid w:val="00C27D34"/>
    <w:rsid w:val="00C36066"/>
    <w:rsid w:val="00C377F3"/>
    <w:rsid w:val="00C37FA1"/>
    <w:rsid w:val="00C43A5E"/>
    <w:rsid w:val="00C4590F"/>
    <w:rsid w:val="00C53A3C"/>
    <w:rsid w:val="00C54703"/>
    <w:rsid w:val="00C60233"/>
    <w:rsid w:val="00C65DB2"/>
    <w:rsid w:val="00C67421"/>
    <w:rsid w:val="00C705C7"/>
    <w:rsid w:val="00C76D47"/>
    <w:rsid w:val="00C84B26"/>
    <w:rsid w:val="00C91C6D"/>
    <w:rsid w:val="00C97ABE"/>
    <w:rsid w:val="00CA07DD"/>
    <w:rsid w:val="00CA093E"/>
    <w:rsid w:val="00CA7EE4"/>
    <w:rsid w:val="00CB12C3"/>
    <w:rsid w:val="00CC1F44"/>
    <w:rsid w:val="00CC7B4C"/>
    <w:rsid w:val="00CD4D21"/>
    <w:rsid w:val="00CE23DF"/>
    <w:rsid w:val="00CF1D2F"/>
    <w:rsid w:val="00CF27EC"/>
    <w:rsid w:val="00CF5245"/>
    <w:rsid w:val="00D01EAB"/>
    <w:rsid w:val="00D03052"/>
    <w:rsid w:val="00D048CF"/>
    <w:rsid w:val="00D13E0D"/>
    <w:rsid w:val="00D15964"/>
    <w:rsid w:val="00D16922"/>
    <w:rsid w:val="00D209A6"/>
    <w:rsid w:val="00D24540"/>
    <w:rsid w:val="00D31FBF"/>
    <w:rsid w:val="00D32C7C"/>
    <w:rsid w:val="00D36077"/>
    <w:rsid w:val="00D444AF"/>
    <w:rsid w:val="00D45D49"/>
    <w:rsid w:val="00D622C4"/>
    <w:rsid w:val="00D627C9"/>
    <w:rsid w:val="00D84ADA"/>
    <w:rsid w:val="00DA5A3F"/>
    <w:rsid w:val="00DB25E5"/>
    <w:rsid w:val="00DB4004"/>
    <w:rsid w:val="00DB5C4F"/>
    <w:rsid w:val="00DC2C70"/>
    <w:rsid w:val="00DC415F"/>
    <w:rsid w:val="00DC48F5"/>
    <w:rsid w:val="00DC75A7"/>
    <w:rsid w:val="00DD6758"/>
    <w:rsid w:val="00DE009C"/>
    <w:rsid w:val="00DE18FC"/>
    <w:rsid w:val="00DE6440"/>
    <w:rsid w:val="00DF02B5"/>
    <w:rsid w:val="00DF0CBE"/>
    <w:rsid w:val="00DF6CED"/>
    <w:rsid w:val="00E05386"/>
    <w:rsid w:val="00E05799"/>
    <w:rsid w:val="00E115D2"/>
    <w:rsid w:val="00E25320"/>
    <w:rsid w:val="00E3119E"/>
    <w:rsid w:val="00E40771"/>
    <w:rsid w:val="00E458E9"/>
    <w:rsid w:val="00E4653D"/>
    <w:rsid w:val="00E51184"/>
    <w:rsid w:val="00E56137"/>
    <w:rsid w:val="00E6295D"/>
    <w:rsid w:val="00E64CD7"/>
    <w:rsid w:val="00E657AE"/>
    <w:rsid w:val="00E832AF"/>
    <w:rsid w:val="00E8569A"/>
    <w:rsid w:val="00E872E9"/>
    <w:rsid w:val="00E978EB"/>
    <w:rsid w:val="00EA13AD"/>
    <w:rsid w:val="00EA4570"/>
    <w:rsid w:val="00EA627D"/>
    <w:rsid w:val="00EB3345"/>
    <w:rsid w:val="00EC2D57"/>
    <w:rsid w:val="00ED5783"/>
    <w:rsid w:val="00ED6BFB"/>
    <w:rsid w:val="00EE2728"/>
    <w:rsid w:val="00EE390B"/>
    <w:rsid w:val="00EE418E"/>
    <w:rsid w:val="00EF3E09"/>
    <w:rsid w:val="00EF68B0"/>
    <w:rsid w:val="00F0235E"/>
    <w:rsid w:val="00F157DB"/>
    <w:rsid w:val="00F27186"/>
    <w:rsid w:val="00F32A70"/>
    <w:rsid w:val="00F34817"/>
    <w:rsid w:val="00F36DEC"/>
    <w:rsid w:val="00F41560"/>
    <w:rsid w:val="00F41D1B"/>
    <w:rsid w:val="00F43B2A"/>
    <w:rsid w:val="00F569AB"/>
    <w:rsid w:val="00F6217A"/>
    <w:rsid w:val="00F65B1D"/>
    <w:rsid w:val="00F711F6"/>
    <w:rsid w:val="00F744BF"/>
    <w:rsid w:val="00F7536D"/>
    <w:rsid w:val="00F813AD"/>
    <w:rsid w:val="00F85787"/>
    <w:rsid w:val="00F879E2"/>
    <w:rsid w:val="00F87A29"/>
    <w:rsid w:val="00F92572"/>
    <w:rsid w:val="00F9390A"/>
    <w:rsid w:val="00F93B94"/>
    <w:rsid w:val="00F95279"/>
    <w:rsid w:val="00F97BBC"/>
    <w:rsid w:val="00F97E64"/>
    <w:rsid w:val="00FA0626"/>
    <w:rsid w:val="00FA0FEA"/>
    <w:rsid w:val="00FA4692"/>
    <w:rsid w:val="00FA707C"/>
    <w:rsid w:val="00FC20F8"/>
    <w:rsid w:val="00FC4564"/>
    <w:rsid w:val="00FD20BF"/>
    <w:rsid w:val="00FD5BBF"/>
    <w:rsid w:val="00FE0946"/>
    <w:rsid w:val="00FE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15"/>
  </w:style>
  <w:style w:type="paragraph" w:styleId="1">
    <w:name w:val="heading 1"/>
    <w:basedOn w:val="a"/>
    <w:next w:val="a"/>
    <w:link w:val="10"/>
    <w:uiPriority w:val="99"/>
    <w:qFormat/>
    <w:rsid w:val="00E6295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36DEC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F36DE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3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DEC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locked/>
    <w:rsid w:val="006F0E69"/>
    <w:rPr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F0E69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a">
    <w:name w:val="Основной текст_"/>
    <w:basedOn w:val="a0"/>
    <w:rsid w:val="006F0E69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FontStyle183">
    <w:name w:val="Font Style183"/>
    <w:basedOn w:val="a0"/>
    <w:rsid w:val="006F0E69"/>
    <w:rPr>
      <w:rFonts w:ascii="Sylfaen" w:hAnsi="Sylfaen" w:cs="Sylfae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6295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2016 год</a:t>
            </a:r>
          </a:p>
        </c:rich>
      </c:tx>
      <c:layout>
        <c:manualLayout>
          <c:xMode val="edge"/>
          <c:yMode val="edge"/>
          <c:x val="0.16843157553513019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7571148910253676"/>
          <c:w val="0.85044723991174409"/>
          <c:h val="0.818872116123607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explosion val="27"/>
          <c:dPt>
            <c:idx val="0"/>
            <c:explosion val="2"/>
          </c:dPt>
          <c:dPt>
            <c:idx val="1"/>
            <c:explosion val="1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explosion val="7"/>
          </c:dPt>
          <c:dPt>
            <c:idx val="3"/>
            <c:explosion val="17"/>
          </c:dPt>
          <c:dPt>
            <c:idx val="5"/>
            <c:explosion val="2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8.2814935489385663E-2"/>
                  <c:y val="-8.95909886264243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18,2%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1219220388970728E-2"/>
                  <c:y val="-4.3494563179602734E-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41,4%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4.2200123390950625E-2"/>
                  <c:y val="0.196759442502845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14,1%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"/>
                  <c:y val="-7.84507185220633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12,2%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7.0245004235028972E-3"/>
                  <c:y val="-8.54181348878351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6,0%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0.19668057429076163"/>
                  <c:y val="-2.08378648801502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8,1%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черная металлургия</c:v>
                </c:pt>
                <c:pt idx="1">
                  <c:v>электроэнергетика</c:v>
                </c:pt>
                <c:pt idx="2">
                  <c:v>легкая промышленность</c:v>
                </c:pt>
                <c:pt idx="3">
                  <c:v>пищевая промышленность</c:v>
                </c:pt>
                <c:pt idx="4">
                  <c:v>промышленность строительных материалов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1550.4</c:v>
                </c:pt>
                <c:pt idx="1">
                  <c:v>3521</c:v>
                </c:pt>
                <c:pt idx="2">
                  <c:v>1204.4000000000001</c:v>
                </c:pt>
                <c:pt idx="3" formatCode="General">
                  <c:v>1039.9000000000001</c:v>
                </c:pt>
                <c:pt idx="4">
                  <c:v>511.9</c:v>
                </c:pt>
                <c:pt idx="5" formatCode="General">
                  <c:v>687.400000000001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178015748031528"/>
          <c:y val="8.5606135170604281E-2"/>
          <c:w val="0.86834612392943755"/>
          <c:h val="0.3110856976211308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 - декабрь 2015 год</c:v>
                </c:pt>
              </c:strCache>
            </c:strRef>
          </c:tx>
          <c:dLbls>
            <c:dLbl>
              <c:idx val="0"/>
              <c:layout>
                <c:manualLayout>
                  <c:x val="-6.4205457463884395E-3"/>
                  <c:y val="1.59362549800796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21,3*</a:t>
                    </a:r>
                    <a:endParaRPr lang="en-US"/>
                  </a:p>
                </c:rich>
              </c:tx>
              <c:dLblPos val="outEnd"/>
            </c:dLbl>
            <c:dLbl>
              <c:idx val="1"/>
              <c:layout>
                <c:manualLayout>
                  <c:x val="-4.2804057687022808E-3"/>
                  <c:y val="1.55387919167446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37,2*</a:t>
                    </a:r>
                    <a:endParaRPr lang="en-US"/>
                  </a:p>
                </c:rich>
              </c:tx>
              <c:dLblPos val="outEnd"/>
            </c:dLbl>
            <c:dLbl>
              <c:idx val="2"/>
              <c:layout>
                <c:manualLayout>
                  <c:x val="-8.5608146876613566E-3"/>
                  <c:y val="1.52455803417543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16,9*</a:t>
                    </a:r>
                    <a:endParaRPr lang="en-US"/>
                  </a:p>
                </c:rich>
              </c:tx>
              <c:dLblPos val="outEnd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13,8*</a:t>
                    </a:r>
                    <a:endParaRPr lang="en-US"/>
                  </a:p>
                </c:rich>
              </c:tx>
              <c:dLblPos val="outEnd"/>
            </c:dLbl>
            <c:dLbl>
              <c:idx val="4"/>
              <c:layout>
                <c:manualLayout>
                  <c:x val="2.1401819154629738E-3"/>
                  <c:y val="5.050505050505047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4,1*</a:t>
                    </a:r>
                    <a:endParaRPr lang="en-US"/>
                  </a:p>
                </c:rich>
              </c:tx>
              <c:dLblPos val="outEnd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4,1*</a:t>
                    </a:r>
                    <a:endParaRPr lang="en-US"/>
                  </a:p>
                </c:rich>
              </c:tx>
              <c:dLblPos val="outEnd"/>
            </c:dLbl>
            <c:dLbl>
              <c:idx val="6"/>
              <c:layout>
                <c:manualLayout>
                  <c:x val="-4.280363830925693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2,6*</a:t>
                    </a:r>
                    <a:endParaRPr lang="en-US"/>
                  </a:p>
                </c:rich>
              </c:tx>
              <c:dLblPos val="outEnd"/>
            </c:dLbl>
            <c:spPr>
              <a:noFill/>
              <a:ln w="24878">
                <a:noFill/>
              </a:ln>
            </c:spPr>
            <c:txPr>
              <a:bodyPr rot="0" vert="horz"/>
              <a:lstStyle/>
              <a:p>
                <a:pPr>
                  <a:defRPr sz="8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Sheet1!$B$1:$H$1</c:f>
              <c:strCache>
                <c:ptCount val="7"/>
                <c:pt idx="0">
                  <c:v>Металлы и изделия из них</c:v>
                </c:pt>
                <c:pt idx="1">
                  <c:v>Топливно-энергетические товары</c:v>
                </c:pt>
                <c:pt idx="2">
                  <c:v>Продукция легкой промышленности</c:v>
                </c:pt>
                <c:pt idx="3">
                  <c:v>Продовольственные товары и сырье</c:v>
                </c:pt>
                <c:pt idx="4">
                  <c:v>Машиностроительная продукция</c:v>
                </c:pt>
                <c:pt idx="5">
                  <c:v>Минеральные продукты</c:v>
                </c:pt>
                <c:pt idx="6">
                  <c:v>Прочие товары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7"/>
                <c:pt idx="0">
                  <c:v>130.40300000000002</c:v>
                </c:pt>
                <c:pt idx="1">
                  <c:v>227.078</c:v>
                </c:pt>
                <c:pt idx="2">
                  <c:v>103.52</c:v>
                </c:pt>
                <c:pt idx="3">
                  <c:v>84.384</c:v>
                </c:pt>
                <c:pt idx="4">
                  <c:v>24.781999999999989</c:v>
                </c:pt>
                <c:pt idx="5">
                  <c:v>25.263000000000002</c:v>
                </c:pt>
                <c:pt idx="6">
                  <c:v>15.629999999999882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 - декабрь 2016 год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8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8.5607276618512567E-3"/>
                  <c:y val="4.004140916648367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16,2*</a:t>
                    </a:r>
                    <a:endParaRPr lang="en-US"/>
                  </a:p>
                </c:rich>
              </c:tx>
              <c:dLblPos val="outEnd"/>
            </c:dLbl>
            <c:dLbl>
              <c:idx val="1"/>
              <c:layout>
                <c:manualLayout>
                  <c:x val="6.4205457463884395E-3"/>
                  <c:y val="5.050505050505047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35,3*</a:t>
                    </a:r>
                    <a:endParaRPr lang="en-US"/>
                  </a:p>
                </c:rich>
              </c:tx>
              <c:dLblPos val="outEnd"/>
            </c:dLbl>
            <c:dLbl>
              <c:idx val="2"/>
              <c:layout>
                <c:manualLayout>
                  <c:x val="8.5607276618512567E-3"/>
                  <c:y val="6.06060606060606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20,5*</a:t>
                    </a:r>
                  </a:p>
                  <a:p>
                    <a:endParaRPr lang="en-US"/>
                  </a:p>
                </c:rich>
              </c:tx>
              <c:dLblPos val="outEnd"/>
            </c:dLbl>
            <c:dLbl>
              <c:idx val="3"/>
              <c:layout>
                <c:manualLayout>
                  <c:x val="1.7176581410167875E-2"/>
                  <c:y val="1.01009504111882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15,9*</a:t>
                    </a:r>
                    <a:endParaRPr lang="en-US"/>
                  </a:p>
                </c:rich>
              </c:tx>
              <c:dLblPos val="outEnd"/>
            </c:dLbl>
            <c:dLbl>
              <c:idx val="4"/>
              <c:layout>
                <c:manualLayout>
                  <c:x val="4.28036383092558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4,2*</a:t>
                    </a:r>
                    <a:endParaRPr lang="en-US"/>
                  </a:p>
                </c:rich>
              </c:tx>
              <c:dLblPos val="outEnd"/>
            </c:dLbl>
            <c:dLbl>
              <c:idx val="5"/>
              <c:layout>
                <c:manualLayout>
                  <c:x val="1.070090957731407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5,3*</a:t>
                    </a:r>
                    <a:endParaRPr lang="en-US"/>
                  </a:p>
                </c:rich>
              </c:tx>
              <c:dLblPos val="outEnd"/>
            </c:dLbl>
            <c:dLbl>
              <c:idx val="6"/>
              <c:layout>
                <c:manualLayout>
                  <c:x val="4.2803638309256934E-3"/>
                  <c:y val="1.59362549800796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2,6*</a:t>
                    </a:r>
                    <a:endParaRPr lang="en-US"/>
                  </a:p>
                </c:rich>
              </c:tx>
              <c:dLblPos val="outEnd"/>
            </c:dLbl>
            <c:spPr>
              <a:noFill/>
              <a:ln w="24878">
                <a:noFill/>
              </a:ln>
            </c:spPr>
            <c:txPr>
              <a:bodyPr rot="0" vert="horz"/>
              <a:lstStyle/>
              <a:p>
                <a:pPr>
                  <a:defRPr sz="8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Sheet1!$B$1:$H$1</c:f>
              <c:strCache>
                <c:ptCount val="7"/>
                <c:pt idx="0">
                  <c:v>Металлы и изделия из них</c:v>
                </c:pt>
                <c:pt idx="1">
                  <c:v>Топливно-энергетические товары</c:v>
                </c:pt>
                <c:pt idx="2">
                  <c:v>Продукция легкой промышленности</c:v>
                </c:pt>
                <c:pt idx="3">
                  <c:v>Продовольственные товары и сырье</c:v>
                </c:pt>
                <c:pt idx="4">
                  <c:v>Машиностроительная продукция</c:v>
                </c:pt>
                <c:pt idx="5">
                  <c:v>Минеральные продукты</c:v>
                </c:pt>
                <c:pt idx="6">
                  <c:v>Прочие товары</c:v>
                </c:pt>
              </c:strCache>
            </c:strRef>
          </c:cat>
          <c:val>
            <c:numRef>
              <c:f>Sheet1!$B$3:$H$3</c:f>
              <c:numCache>
                <c:formatCode>0.0</c:formatCode>
                <c:ptCount val="7"/>
                <c:pt idx="0">
                  <c:v>85.738</c:v>
                </c:pt>
                <c:pt idx="1">
                  <c:v>187.08800000000053</c:v>
                </c:pt>
                <c:pt idx="2">
                  <c:v>108.47799999999999</c:v>
                </c:pt>
                <c:pt idx="3">
                  <c:v>84.331999999999994</c:v>
                </c:pt>
                <c:pt idx="4">
                  <c:v>22.49</c:v>
                </c:pt>
                <c:pt idx="5">
                  <c:v>28.254999999999999</c:v>
                </c:pt>
                <c:pt idx="6">
                  <c:v>13.975000000000026</c:v>
                </c:pt>
              </c:numCache>
            </c:numRef>
          </c:val>
        </c:ser>
        <c:dLbls>
          <c:showVal val="1"/>
        </c:dLbls>
        <c:gapWidth val="160"/>
        <c:axId val="118143232"/>
        <c:axId val="118169600"/>
      </c:barChart>
      <c:catAx>
        <c:axId val="118143232"/>
        <c:scaling>
          <c:orientation val="minMax"/>
        </c:scaling>
        <c:axPos val="b"/>
        <c:numFmt formatCode="General" sourceLinked="1"/>
        <c:tickLblPos val="low"/>
        <c:txPr>
          <a:bodyPr rot="-5400000" vert="horz"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169600"/>
        <c:crossesAt val="0"/>
        <c:lblAlgn val="ctr"/>
        <c:lblOffset val="160"/>
        <c:tickLblSkip val="1"/>
        <c:tickMarkSkip val="1"/>
      </c:catAx>
      <c:valAx>
        <c:axId val="118169600"/>
        <c:scaling>
          <c:orientation val="minMax"/>
          <c:max val="250"/>
          <c:min val="0"/>
        </c:scaling>
        <c:axPos val="l"/>
        <c:title>
          <c:tx>
            <c:rich>
              <a:bodyPr rot="0" vert="horz"/>
              <a:lstStyle/>
              <a:p>
                <a:pPr algn="ctr">
                  <a:defRPr sz="78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/>
                  <a:t>*- удельный вес в общем объеме экспорта,%</a:t>
                </a:r>
              </a:p>
            </c:rich>
          </c:tx>
          <c:layout>
            <c:manualLayout>
              <c:xMode val="edge"/>
              <c:yMode val="edge"/>
              <c:x val="0.78116633330801499"/>
              <c:y val="4.7138206436642023E-2"/>
            </c:manualLayout>
          </c:layout>
          <c:spPr>
            <a:noFill/>
            <a:ln w="24878">
              <a:noFill/>
            </a:ln>
          </c:spPr>
        </c:title>
        <c:numFmt formatCode="0.0" sourceLinked="1"/>
        <c:tickLblPos val="nextTo"/>
        <c:txPr>
          <a:bodyPr rot="0" vert="horz"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143232"/>
        <c:crosses val="autoZero"/>
        <c:crossBetween val="between"/>
        <c:majorUnit val="50"/>
        <c:minorUnit val="10"/>
      </c:valAx>
    </c:plotArea>
    <c:legend>
      <c:legendPos val="r"/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0896350220373513E-2"/>
          <c:y val="0.89990002018978565"/>
          <c:w val="0.90885029402970263"/>
          <c:h val="9.5590712699374164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52">
                <a:latin typeface="Times New Roman" pitchFamily="18" charset="0"/>
                <a:cs typeface="Times New Roman" pitchFamily="18" charset="0"/>
              </a:rPr>
              <a:t>Экспорт товаров в разрезе основных стран, тыс. долл. США</a:t>
            </a:r>
          </a:p>
        </c:rich>
      </c:tx>
      <c:layout>
        <c:manualLayout>
          <c:xMode val="edge"/>
          <c:yMode val="edge"/>
          <c:x val="0.22886837785760281"/>
          <c:y val="2.4123012020757792E-3"/>
        </c:manualLayout>
      </c:layout>
      <c:spPr>
        <a:noFill/>
        <a:ln w="24880">
          <a:noFill/>
        </a:ln>
      </c:spPr>
    </c:title>
    <c:plotArea>
      <c:layout>
        <c:manualLayout>
          <c:layoutTarget val="inner"/>
          <c:xMode val="edge"/>
          <c:yMode val="edge"/>
          <c:x val="0.23288690683576074"/>
          <c:y val="0.18427073427415777"/>
          <c:w val="0.7513805464582417"/>
          <c:h val="0.450815113227125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- декабрь 2015 г.</c:v>
                </c:pt>
              </c:strCache>
            </c:strRef>
          </c:tx>
          <c:dLbls>
            <c:dLbl>
              <c:idx val="0"/>
              <c:layout>
                <c:manualLayout>
                  <c:x val="-8.3339660302960208E-3"/>
                  <c:y val="1.8116033041882043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49,1*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1"/>
              <c:layout>
                <c:manualLayout>
                  <c:x val="-4.2906021033851599E-3"/>
                  <c:y val="1.3442448764611961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7,8*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2"/>
              <c:layout>
                <c:manualLayout>
                  <c:x val="-6.3840218170926914E-3"/>
                  <c:y val="1.1839780896953101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8,4*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3"/>
              <c:layout>
                <c:manualLayout>
                  <c:x val="-1.6043790986303703E-3"/>
                  <c:y val="1.0085576512238337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6,5*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4"/>
              <c:layout>
                <c:manualLayout>
                  <c:x val="-1.0091052406087941E-3"/>
                  <c:y val="9.9600593404085766E-3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5,0*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5"/>
              <c:layout>
                <c:manualLayout>
                  <c:x val="-6.4136825227152014E-3"/>
                  <c:y val="1.6076563472817804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15,5*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6"/>
              <c:layout>
                <c:manualLayout>
                  <c:x val="-3.3236415970983252E-3"/>
                  <c:y val="1.5872988702499143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1,5*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7"/>
              <c:layout>
                <c:manualLayout>
                  <c:x val="6.0613662230274423E-3"/>
                  <c:y val="9.3067203808826268E-3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6,3*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spPr>
              <a:noFill/>
              <a:ln w="24880">
                <a:noFill/>
              </a:ln>
            </c:spPr>
            <c:txPr>
              <a:bodyPr/>
              <a:lstStyle/>
              <a:p>
                <a:pPr>
                  <a:defRPr sz="882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Молдова</c:v>
                </c:pt>
                <c:pt idx="1">
                  <c:v>Россия</c:v>
                </c:pt>
                <c:pt idx="2">
                  <c:v>Украина</c:v>
                </c:pt>
                <c:pt idx="3">
                  <c:v>Италия</c:v>
                </c:pt>
                <c:pt idx="4">
                  <c:v>Германия</c:v>
                </c:pt>
                <c:pt idx="5">
                  <c:v>Румыния</c:v>
                </c:pt>
                <c:pt idx="6">
                  <c:v>Польша</c:v>
                </c:pt>
                <c:pt idx="7">
                  <c:v>Прочие страны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8"/>
                <c:pt idx="0">
                  <c:v>299900.7</c:v>
                </c:pt>
                <c:pt idx="1">
                  <c:v>47410.7</c:v>
                </c:pt>
                <c:pt idx="2">
                  <c:v>51147</c:v>
                </c:pt>
                <c:pt idx="3">
                  <c:v>39598</c:v>
                </c:pt>
                <c:pt idx="4">
                  <c:v>30413.8</c:v>
                </c:pt>
                <c:pt idx="5">
                  <c:v>94827.9</c:v>
                </c:pt>
                <c:pt idx="6">
                  <c:v>9061.7000000000007</c:v>
                </c:pt>
                <c:pt idx="7">
                  <c:v>38700.9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- декабрь 2016 г.</c:v>
                </c:pt>
              </c:strCache>
            </c:strRef>
          </c:tx>
          <c:dLbls>
            <c:dLbl>
              <c:idx val="0"/>
              <c:layout>
                <c:manualLayout>
                  <c:x val="1.0286665386338907E-2"/>
                  <c:y val="1.6604999617767333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46,2*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1"/>
              <c:layout>
                <c:manualLayout>
                  <c:x val="1.3888888888889749E-2"/>
                  <c:y val="1.1904761904761921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8,7*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2"/>
              <c:layout>
                <c:manualLayout>
                  <c:x val="1.087930380383868E-2"/>
                  <c:y val="8.1048892144296586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11,5*</a:t>
                    </a:r>
                  </a:p>
                  <a:p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3"/>
              <c:layout>
                <c:manualLayout>
                  <c:x val="1.3543152238713597E-2"/>
                  <c:y val="1.0963071476530596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7,6*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4"/>
              <c:layout>
                <c:manualLayout>
                  <c:x val="1.3888888888889749E-2"/>
                  <c:y val="7.9365079365078823E-3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5,5*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5"/>
              <c:layout>
                <c:manualLayout>
                  <c:x val="1.1984310202113255E-2"/>
                  <c:y val="3.9444254250827352E-3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11,4*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6"/>
              <c:layout>
                <c:manualLayout>
                  <c:x val="6.4095591654650171E-3"/>
                  <c:y val="1.400950968085553E-2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0,8*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7"/>
              <c:layout>
                <c:manualLayout>
                  <c:x val="1.415226249871919E-2"/>
                  <c:y val="7.8058503556620914E-3"/>
                </c:manualLayout>
              </c:layout>
              <c:tx>
                <c:rich>
                  <a:bodyPr/>
                  <a:lstStyle/>
                  <a:p>
                    <a:r>
                      <a:rPr lang="ru-RU" sz="882" b="1">
                        <a:latin typeface="Times New Roman" pitchFamily="18" charset="0"/>
                        <a:cs typeface="Times New Roman" pitchFamily="18" charset="0"/>
                      </a:rPr>
                      <a:t>8,2*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spPr>
              <a:noFill/>
              <a:ln w="24880">
                <a:noFill/>
              </a:ln>
            </c:spPr>
            <c:txPr>
              <a:bodyPr/>
              <a:lstStyle/>
              <a:p>
                <a:pPr>
                  <a:defRPr sz="882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Молдова</c:v>
                </c:pt>
                <c:pt idx="1">
                  <c:v>Россия</c:v>
                </c:pt>
                <c:pt idx="2">
                  <c:v>Украина</c:v>
                </c:pt>
                <c:pt idx="3">
                  <c:v>Италия</c:v>
                </c:pt>
                <c:pt idx="4">
                  <c:v>Германия</c:v>
                </c:pt>
                <c:pt idx="5">
                  <c:v>Румыния</c:v>
                </c:pt>
                <c:pt idx="6">
                  <c:v>Польша</c:v>
                </c:pt>
                <c:pt idx="7">
                  <c:v>Прочие страны</c:v>
                </c:pt>
              </c:strCache>
            </c:strRef>
          </c:cat>
          <c:val>
            <c:numRef>
              <c:f>Лист1!$C$2:$C$9</c:f>
              <c:numCache>
                <c:formatCode>#,##0.0</c:formatCode>
                <c:ptCount val="8"/>
                <c:pt idx="0">
                  <c:v>245062.3</c:v>
                </c:pt>
                <c:pt idx="1">
                  <c:v>45989.599999999999</c:v>
                </c:pt>
                <c:pt idx="2">
                  <c:v>61151.3</c:v>
                </c:pt>
                <c:pt idx="3">
                  <c:v>40364.400000000001</c:v>
                </c:pt>
                <c:pt idx="4">
                  <c:v>29104.2</c:v>
                </c:pt>
                <c:pt idx="5">
                  <c:v>60496.9</c:v>
                </c:pt>
                <c:pt idx="6">
                  <c:v>4491.7</c:v>
                </c:pt>
                <c:pt idx="7">
                  <c:v>43703.200000000004</c:v>
                </c:pt>
              </c:numCache>
            </c:numRef>
          </c:val>
        </c:ser>
        <c:dLbls>
          <c:showVal val="1"/>
        </c:dLbls>
        <c:axId val="118204672"/>
        <c:axId val="118296576"/>
      </c:barChart>
      <c:catAx>
        <c:axId val="118204672"/>
        <c:scaling>
          <c:orientation val="minMax"/>
        </c:scaling>
        <c:axPos val="b"/>
        <c:numFmt formatCode="General" sourceLinked="1"/>
        <c:tickLblPos val="nextTo"/>
        <c:crossAx val="118296576"/>
        <c:crosses val="autoZero"/>
        <c:auto val="1"/>
        <c:lblAlgn val="ctr"/>
        <c:lblOffset val="100"/>
      </c:catAx>
      <c:valAx>
        <c:axId val="118296576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07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900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*- удельный вес в общем объеме экспорта, %</a:t>
                </a:r>
              </a:p>
            </c:rich>
          </c:tx>
          <c:layout>
            <c:manualLayout>
              <c:xMode val="edge"/>
              <c:yMode val="edge"/>
              <c:x val="0.80935311995953119"/>
              <c:y val="0.11114144787629122"/>
            </c:manualLayout>
          </c:layout>
          <c:spPr>
            <a:noFill/>
            <a:ln w="24880">
              <a:noFill/>
            </a:ln>
          </c:spPr>
        </c:title>
        <c:numFmt formatCode="#,##0.0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204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7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ln>
      <a:noFill/>
    </a:ln>
  </c:sp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Товарная структура импорта ПМР, млн. долл. США</a:t>
            </a:r>
          </a:p>
        </c:rich>
      </c:tx>
      <c:layout>
        <c:manualLayout>
          <c:xMode val="edge"/>
          <c:yMode val="edge"/>
          <c:x val="0.20873792195533941"/>
          <c:y val="5.6755808749712738E-3"/>
        </c:manualLayout>
      </c:layout>
      <c:spPr>
        <a:noFill/>
        <a:ln w="28727">
          <a:noFill/>
        </a:ln>
      </c:spPr>
    </c:title>
    <c:plotArea>
      <c:layout>
        <c:manualLayout>
          <c:layoutTarget val="inner"/>
          <c:xMode val="edge"/>
          <c:yMode val="edge"/>
          <c:x val="7.9050632911393096E-2"/>
          <c:y val="0.13733261075159131"/>
          <c:w val="0.91040084388185649"/>
          <c:h val="0.350342057445248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 - декабрь 2015 г.</c:v>
                </c:pt>
              </c:strCache>
            </c:strRef>
          </c:tx>
          <c:spPr>
            <a:solidFill>
              <a:srgbClr val="4F81BD"/>
            </a:solidFill>
          </c:spPr>
          <c:dLbls>
            <c:dLbl>
              <c:idx val="0"/>
              <c:layout>
                <c:manualLayout>
                  <c:x val="-5.146938139947899E-3"/>
                  <c:y val="2.306033678653444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50,5*</a:t>
                    </a:r>
                    <a:endParaRPr lang="en-US" sz="1000"/>
                  </a:p>
                </c:rich>
              </c:tx>
              <c:dLblPos val="outEnd"/>
            </c:dLbl>
            <c:dLbl>
              <c:idx val="1"/>
              <c:layout>
                <c:manualLayout>
                  <c:x val="-1.5731287177619545E-3"/>
                  <c:y val="2.029086528118419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11,9*</a:t>
                    </a:r>
                    <a:endParaRPr lang="en-US" sz="1000"/>
                  </a:p>
                </c:rich>
              </c:tx>
              <c:dLblPos val="outEnd"/>
            </c:dLbl>
            <c:dLbl>
              <c:idx val="2"/>
              <c:layout>
                <c:manualLayout>
                  <c:x val="-1.3042927798846641E-3"/>
                  <c:y val="1.8925405541558228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8,8*</a:t>
                    </a:r>
                    <a:endParaRPr lang="en-US" sz="1000"/>
                  </a:p>
                </c:rich>
              </c:tx>
              <c:dLblPos val="outEnd"/>
            </c:dLbl>
            <c:dLbl>
              <c:idx val="3"/>
              <c:layout>
                <c:manualLayout>
                  <c:x val="-4.1449626488996565E-3"/>
                  <c:y val="1.1628763795829869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10,4*</a:t>
                    </a:r>
                    <a:endParaRPr lang="en-US" sz="1000"/>
                  </a:p>
                </c:rich>
              </c:tx>
              <c:dLblPos val="outEnd"/>
            </c:dLbl>
            <c:dLbl>
              <c:idx val="4"/>
              <c:layout>
                <c:manualLayout>
                  <c:x val="1.2039404165388417E-3"/>
                  <c:y val="3.9873514104252416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4,0*</a:t>
                    </a:r>
                    <a:endParaRPr lang="en-US" sz="1000"/>
                  </a:p>
                </c:rich>
              </c:tx>
              <c:dLblPos val="outEnd"/>
            </c:dLbl>
            <c:dLbl>
              <c:idx val="5"/>
              <c:layout>
                <c:manualLayout>
                  <c:x val="-1.5628511428054401E-3"/>
                  <c:y val="1.983769531113906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14,4*</a:t>
                    </a:r>
                    <a:endParaRPr lang="en-US" sz="1000" b="1"/>
                  </a:p>
                </c:rich>
              </c:tx>
              <c:dLblPos val="outEnd"/>
            </c:dLbl>
            <c:dLbl>
              <c:idx val="6"/>
              <c:layout>
                <c:manualLayout>
                  <c:x val="-7.5617342090612003E-4"/>
                  <c:y val="1.645540209113206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8</a:t>
                    </a:r>
                    <a:r>
                      <a:rPr lang="en-US" sz="1000" b="1"/>
                      <a:t>,2</a:t>
                    </a:r>
                  </a:p>
                </c:rich>
              </c:tx>
              <c:dLblPos val="outEnd"/>
            </c:dLbl>
            <c:dLbl>
              <c:idx val="7"/>
              <c:layout>
                <c:manualLayout>
                  <c:xMode val="edge"/>
                  <c:yMode val="edge"/>
                  <c:x val="0.72802197802197965"/>
                  <c:y val="0.43750000000000488"/>
                </c:manualLayout>
              </c:layout>
              <c:dLblPos val="outEnd"/>
              <c:showVal val="1"/>
            </c:dLbl>
            <c:spPr>
              <a:noFill/>
              <a:ln w="28727">
                <a:noFill/>
              </a:ln>
            </c:spPr>
            <c:txPr>
              <a:bodyPr rot="0" vert="horz" anchor="ctr" anchorCtr="0"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Топливно-энергетические товары</c:v>
                </c:pt>
                <c:pt idx="1">
                  <c:v>Металлы и изделия из них</c:v>
                </c:pt>
                <c:pt idx="2">
                  <c:v>Продовольственные товары и сырье</c:v>
                </c:pt>
                <c:pt idx="3">
                  <c:v>Машиностроительная продукция</c:v>
                </c:pt>
                <c:pt idx="4">
                  <c:v>Продукция легкой промышленности</c:v>
                </c:pt>
                <c:pt idx="5">
                  <c:v>Прочие товары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574.96400000000006</c:v>
                </c:pt>
                <c:pt idx="1">
                  <c:v>135.48500000000001</c:v>
                </c:pt>
                <c:pt idx="2">
                  <c:v>99.808999999999983</c:v>
                </c:pt>
                <c:pt idx="3">
                  <c:v>118.708</c:v>
                </c:pt>
                <c:pt idx="4">
                  <c:v>45.835000000000001</c:v>
                </c:pt>
                <c:pt idx="5">
                  <c:v>163.48100000000031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 - декабрь 2016 г.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dLbls>
            <c:dLbl>
              <c:idx val="0"/>
              <c:layout>
                <c:manualLayout>
                  <c:x val="5.2558529061472684E-3"/>
                  <c:y val="6.0188774629529422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47,7*</a:t>
                    </a:r>
                    <a:endParaRPr lang="en-US" sz="1000"/>
                  </a:p>
                </c:rich>
              </c:tx>
              <c:dLblPos val="outEnd"/>
            </c:dLbl>
            <c:dLbl>
              <c:idx val="1"/>
              <c:layout>
                <c:manualLayout>
                  <c:x val="9.1876075299206358E-4"/>
                  <c:y val="1.6703670237941701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7,0*</a:t>
                    </a:r>
                    <a:endParaRPr lang="en-US" sz="1000"/>
                  </a:p>
                </c:rich>
              </c:tx>
              <c:dLblPos val="outEnd"/>
            </c:dLbl>
            <c:dLbl>
              <c:idx val="2"/>
              <c:layout>
                <c:manualLayout>
                  <c:x val="7.8853360982597022E-3"/>
                  <c:y val="1.248368946169844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12,0*</a:t>
                    </a:r>
                    <a:endParaRPr lang="en-US" sz="1000" b="1"/>
                  </a:p>
                </c:rich>
              </c:tx>
              <c:dLblPos val="outEnd"/>
            </c:dLbl>
            <c:dLbl>
              <c:idx val="3"/>
              <c:layout>
                <c:manualLayout>
                  <c:x val="1.1899232532642278E-2"/>
                  <c:y val="1.7186740546320599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10,4*</a:t>
                    </a:r>
                    <a:endParaRPr lang="en-US" sz="1000"/>
                  </a:p>
                </c:rich>
              </c:tx>
              <c:dLblPos val="outEnd"/>
            </c:dLbl>
            <c:dLbl>
              <c:idx val="4"/>
              <c:layout>
                <c:manualLayout>
                  <c:x val="1.0924639230358631E-2"/>
                  <c:y val="4.8544624769320784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5,2*</a:t>
                    </a:r>
                    <a:endParaRPr lang="en-US" sz="1000"/>
                  </a:p>
                </c:rich>
              </c:tx>
              <c:dLblPos val="outEnd"/>
            </c:dLbl>
            <c:dLbl>
              <c:idx val="5"/>
              <c:layout>
                <c:manualLayout>
                  <c:x val="1.6322401175000143E-2"/>
                  <c:y val="9.2570991388661768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17,8*</a:t>
                    </a:r>
                    <a:endParaRPr lang="en-US" sz="1000"/>
                  </a:p>
                </c:rich>
              </c:tx>
              <c:dLblPos val="outEnd"/>
            </c:dLbl>
            <c:dLbl>
              <c:idx val="6"/>
              <c:layout>
                <c:manualLayout>
                  <c:x val="4.0251667106205027E-3"/>
                  <c:y val="1.0088636461425918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/>
                      <a:t>9,</a:t>
                    </a:r>
                    <a:r>
                      <a:rPr lang="ru-RU" sz="1000" b="1"/>
                      <a:t>6</a:t>
                    </a:r>
                    <a:endParaRPr lang="en-US" sz="1000" b="1"/>
                  </a:p>
                </c:rich>
              </c:tx>
              <c:dLblPos val="outEnd"/>
            </c:dLbl>
            <c:dLbl>
              <c:idx val="7"/>
              <c:layout>
                <c:manualLayout>
                  <c:xMode val="edge"/>
                  <c:yMode val="edge"/>
                  <c:x val="0.75274725274725274"/>
                  <c:y val="0.48214285714289395"/>
                </c:manualLayout>
              </c:layout>
              <c:dLblPos val="outEnd"/>
              <c:showVal val="1"/>
            </c:dLbl>
            <c:spPr>
              <a:noFill/>
              <a:ln w="28727">
                <a:noFill/>
              </a:ln>
            </c:spPr>
            <c:txPr>
              <a:bodyPr rot="0" vert="horz"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Топливно-энергетические товары</c:v>
                </c:pt>
                <c:pt idx="1">
                  <c:v>Металлы и изделия из них</c:v>
                </c:pt>
                <c:pt idx="2">
                  <c:v>Продовольственные товары и сырье</c:v>
                </c:pt>
                <c:pt idx="3">
                  <c:v>Машиностроительная продукция</c:v>
                </c:pt>
                <c:pt idx="4">
                  <c:v>Продукция легкой промышленности</c:v>
                </c:pt>
                <c:pt idx="5">
                  <c:v>Прочие товары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408.79199999999861</c:v>
                </c:pt>
                <c:pt idx="1">
                  <c:v>59.866</c:v>
                </c:pt>
                <c:pt idx="2">
                  <c:v>102.57199999999999</c:v>
                </c:pt>
                <c:pt idx="3">
                  <c:v>89.043999999999997</c:v>
                </c:pt>
                <c:pt idx="4">
                  <c:v>44.913000000000004</c:v>
                </c:pt>
                <c:pt idx="5">
                  <c:v>152.608</c:v>
                </c:pt>
              </c:numCache>
            </c:numRef>
          </c:val>
        </c:ser>
        <c:gapWidth val="160"/>
        <c:axId val="118434048"/>
        <c:axId val="118484992"/>
      </c:barChart>
      <c:catAx>
        <c:axId val="118434048"/>
        <c:scaling>
          <c:orientation val="minMax"/>
        </c:scaling>
        <c:axPos val="b"/>
        <c:numFmt formatCode="General" sourceLinked="1"/>
        <c:tickLblPos val="low"/>
        <c:txPr>
          <a:bodyPr rot="-5400000" vert="horz"/>
          <a:lstStyle/>
          <a:p>
            <a:pPr>
              <a:defRPr sz="900" b="1"/>
            </a:pPr>
            <a:endParaRPr lang="ru-RU"/>
          </a:p>
        </c:txPr>
        <c:crossAx val="118484992"/>
        <c:crosses val="autoZero"/>
        <c:lblAlgn val="ctr"/>
        <c:lblOffset val="160"/>
        <c:tickLblSkip val="1"/>
        <c:tickMarkSkip val="1"/>
      </c:catAx>
      <c:valAx>
        <c:axId val="118484992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44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*-удельный</a:t>
                </a:r>
              </a:p>
              <a:p>
                <a:pPr algn="ctr">
                  <a:defRPr sz="144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вес в общем </a:t>
                </a:r>
              </a:p>
              <a:p>
                <a:pPr algn="ctr">
                  <a:defRPr sz="144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объеме импорта,%</a:t>
                </a:r>
              </a:p>
            </c:rich>
          </c:tx>
          <c:layout>
            <c:manualLayout>
              <c:xMode val="edge"/>
              <c:yMode val="edge"/>
              <c:x val="0.81176168643476565"/>
              <c:y val="0.10976144176310107"/>
            </c:manualLayout>
          </c:layout>
          <c:spPr>
            <a:noFill/>
            <a:ln w="28727">
              <a:noFill/>
            </a:ln>
          </c:spPr>
        </c:title>
        <c:numFmt formatCode="0.0" sourceLinked="1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1843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742616033755851E-2"/>
          <c:y val="0.93581084415730087"/>
          <c:w val="0.86241569487358938"/>
          <c:h val="6.4188707180833193E-2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sz="1197">
                <a:latin typeface="Times New Roman" pitchFamily="18" charset="0"/>
                <a:cs typeface="Times New Roman" pitchFamily="18" charset="0"/>
              </a:defRPr>
            </a:pPr>
            <a:r>
              <a:rPr lang="ru-RU" sz="1197">
                <a:latin typeface="Times New Roman" pitchFamily="18" charset="0"/>
                <a:cs typeface="Times New Roman" pitchFamily="18" charset="0"/>
              </a:rPr>
              <a:t>Импорт товаров в разрезе стран, тыс. долл. США</a:t>
            </a:r>
          </a:p>
        </c:rich>
      </c:tx>
      <c:layout>
        <c:manualLayout>
          <c:xMode val="edge"/>
          <c:yMode val="edge"/>
          <c:x val="0.2985758933979496"/>
          <c:y val="3.0836578640666698E-3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0.23806221531725574"/>
          <c:y val="8.1766230325310288E-2"/>
          <c:w val="0.75214818412015683"/>
          <c:h val="0.637150782019755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- декабрь 2015 г.</c:v>
                </c:pt>
              </c:strCache>
            </c:strRef>
          </c:tx>
          <c:dLbls>
            <c:dLbl>
              <c:idx val="0"/>
              <c:layout>
                <c:manualLayout>
                  <c:x val="-3.0228500849158561E-3"/>
                  <c:y val="4.2418869826703134E-3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51,6*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1"/>
              <c:layout>
                <c:manualLayout>
                  <c:x val="8.2047012845861214E-4"/>
                  <c:y val="9.733543307086652E-3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14,2*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2"/>
              <c:layout>
                <c:manualLayout>
                  <c:x val="-2.1241315423809418E-3"/>
                  <c:y val="1.3422676470077001E-2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6,8*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3"/>
              <c:layout>
                <c:manualLayout>
                  <c:x val="-1.2527404662652994E-3"/>
                  <c:y val="1.8752672472232362E-2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4,3*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4"/>
              <c:layout>
                <c:manualLayout>
                  <c:x val="-3.5208973683889004E-3"/>
                  <c:y val="1.3422708778503161E-2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4,1*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5"/>
              <c:layout>
                <c:manualLayout>
                  <c:x val="-6.944444444444901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2,2*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6"/>
              <c:layout>
                <c:manualLayout>
                  <c:x val="-7.4268010433377434E-3"/>
                  <c:y val="1.4869888475836441E-2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2,0*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7"/>
              <c:layout>
                <c:manualLayout>
                  <c:x val="-1.2636096958468426E-2"/>
                  <c:y val="8.9485668596065715E-3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14,9*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98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Россия</c:v>
                </c:pt>
                <c:pt idx="1">
                  <c:v>Украина</c:v>
                </c:pt>
                <c:pt idx="2">
                  <c:v> Молдова</c:v>
                </c:pt>
                <c:pt idx="3">
                  <c:v>Беларусь</c:v>
                </c:pt>
                <c:pt idx="4">
                  <c:v>Германия</c:v>
                </c:pt>
                <c:pt idx="5">
                  <c:v>Италия</c:v>
                </c:pt>
                <c:pt idx="6">
                  <c:v>Польша</c:v>
                </c:pt>
                <c:pt idx="7">
                  <c:v>Прочие страны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8"/>
                <c:pt idx="0">
                  <c:v>587468.19999999809</c:v>
                </c:pt>
                <c:pt idx="1">
                  <c:v>161624.1</c:v>
                </c:pt>
                <c:pt idx="2">
                  <c:v>76967.5</c:v>
                </c:pt>
                <c:pt idx="3">
                  <c:v>48436.5</c:v>
                </c:pt>
                <c:pt idx="4">
                  <c:v>47162.9</c:v>
                </c:pt>
                <c:pt idx="5">
                  <c:v>24745.7</c:v>
                </c:pt>
                <c:pt idx="6">
                  <c:v>22255.9</c:v>
                </c:pt>
                <c:pt idx="7">
                  <c:v>169621.20000000019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- декабрь 2016 г.</c:v>
                </c:pt>
              </c:strCache>
            </c:strRef>
          </c:tx>
          <c:dLbls>
            <c:dLbl>
              <c:idx val="0"/>
              <c:layout>
                <c:manualLayout>
                  <c:x val="1.842411610313416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48,9*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1"/>
              <c:layout>
                <c:manualLayout>
                  <c:x val="1.1864597807626987E-2"/>
                  <c:y val="6.5359545288627002E-3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10,9*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2"/>
              <c:layout>
                <c:manualLayout>
                  <c:x val="1.7099319337738322E-2"/>
                  <c:y val="1.3130901740730701E-2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8,5*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3"/>
              <c:layout>
                <c:manualLayout>
                  <c:x val="7.8794323698917028E-3"/>
                  <c:y val="2.1432407156002052E-2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4,0*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4"/>
              <c:layout>
                <c:manualLayout>
                  <c:x val="1.0321290721012817E-2"/>
                  <c:y val="8.8296744363908167E-3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4,1*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5"/>
              <c:layout>
                <c:manualLayout>
                  <c:x val="9.9672687972827047E-3"/>
                  <c:y val="-1.7764335749422967E-4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2,4*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6"/>
              <c:layout>
                <c:manualLayout>
                  <c:x val="1.1574002944753857E-2"/>
                  <c:y val="9.4562647754137547E-3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2,2*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dLbl>
              <c:idx val="7"/>
              <c:layout>
                <c:manualLayout>
                  <c:x val="1.0951763651494778E-2"/>
                  <c:y val="7.5461489299654023E-3"/>
                </c:manualLayout>
              </c:layout>
              <c:tx>
                <c:rich>
                  <a:bodyPr/>
                  <a:lstStyle/>
                  <a:p>
                    <a:r>
                      <a:rPr lang="ru-RU" sz="898" b="1">
                        <a:latin typeface="Times New Roman" pitchFamily="18" charset="0"/>
                        <a:cs typeface="Times New Roman" pitchFamily="18" charset="0"/>
                      </a:rPr>
                      <a:t>19,0*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98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Россия</c:v>
                </c:pt>
                <c:pt idx="1">
                  <c:v>Украина</c:v>
                </c:pt>
                <c:pt idx="2">
                  <c:v> Молдова</c:v>
                </c:pt>
                <c:pt idx="3">
                  <c:v>Беларусь</c:v>
                </c:pt>
                <c:pt idx="4">
                  <c:v>Германия</c:v>
                </c:pt>
                <c:pt idx="5">
                  <c:v>Италия</c:v>
                </c:pt>
                <c:pt idx="6">
                  <c:v>Польша</c:v>
                </c:pt>
                <c:pt idx="7">
                  <c:v>Прочие страны</c:v>
                </c:pt>
              </c:strCache>
            </c:strRef>
          </c:cat>
          <c:val>
            <c:numRef>
              <c:f>Лист1!$C$2:$C$9</c:f>
              <c:numCache>
                <c:formatCode>#,##0.0</c:formatCode>
                <c:ptCount val="8"/>
                <c:pt idx="0">
                  <c:v>419343.4</c:v>
                </c:pt>
                <c:pt idx="1">
                  <c:v>93420.1</c:v>
                </c:pt>
                <c:pt idx="2">
                  <c:v>72974.7</c:v>
                </c:pt>
                <c:pt idx="3">
                  <c:v>34545.300000000003</c:v>
                </c:pt>
                <c:pt idx="4">
                  <c:v>35174.300000000003</c:v>
                </c:pt>
                <c:pt idx="5">
                  <c:v>20801.5</c:v>
                </c:pt>
                <c:pt idx="6">
                  <c:v>18919.5</c:v>
                </c:pt>
                <c:pt idx="7">
                  <c:v>162617</c:v>
                </c:pt>
              </c:numCache>
            </c:numRef>
          </c:val>
        </c:ser>
        <c:dLbls>
          <c:showVal val="1"/>
        </c:dLbls>
        <c:axId val="118457856"/>
        <c:axId val="118459392"/>
      </c:barChart>
      <c:catAx>
        <c:axId val="118457856"/>
        <c:scaling>
          <c:orientation val="minMax"/>
        </c:scaling>
        <c:axPos val="b"/>
        <c:numFmt formatCode="General" sourceLinked="1"/>
        <c:tickLblPos val="nextTo"/>
        <c:crossAx val="118459392"/>
        <c:crosses val="autoZero"/>
        <c:auto val="1"/>
        <c:lblAlgn val="ctr"/>
        <c:lblOffset val="100"/>
      </c:catAx>
      <c:valAx>
        <c:axId val="118459392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89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b="1"/>
                  <a:t>*- удельный вес страны в общем импорте,%</a:t>
                </a:r>
              </a:p>
            </c:rich>
          </c:tx>
          <c:layout>
            <c:manualLayout>
              <c:xMode val="edge"/>
              <c:yMode val="edge"/>
              <c:x val="1.7122228952150213E-2"/>
              <c:y val="0.52658157802476857"/>
            </c:manualLayout>
          </c:layout>
          <c:spPr>
            <a:noFill/>
            <a:ln w="25398">
              <a:noFill/>
            </a:ln>
          </c:spPr>
        </c:title>
        <c:numFmt formatCode="#,##0.0" sourceLinked="1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457856"/>
        <c:crosses val="autoZero"/>
        <c:crossBetween val="between"/>
        <c:dispUnits>
          <c:builtInUnit val="thousands"/>
        </c:dispUnits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основных составляющих инфляции,%</a:t>
            </a:r>
          </a:p>
        </c:rich>
      </c:tx>
      <c:layout>
        <c:manualLayout>
          <c:xMode val="edge"/>
          <c:yMode val="edge"/>
          <c:x val="0.26946996442635185"/>
          <c:y val="5.0813392816910748E-3"/>
        </c:manualLayout>
      </c:layout>
    </c:title>
    <c:plotArea>
      <c:layout>
        <c:manualLayout>
          <c:layoutTarget val="inner"/>
          <c:xMode val="edge"/>
          <c:yMode val="edge"/>
          <c:x val="0.2199737215051509"/>
          <c:y val="0.14833691243140076"/>
          <c:w val="0.76544241901269194"/>
          <c:h val="0.543958755155605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январь-декабрь 2015 г.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6.9906515922803746E-4"/>
                  <c:y val="1.947272514502604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-1,77*</a:t>
                    </a:r>
                    <a:endParaRPr lang="en-US" b="1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2.804944389515607E-3"/>
                  <c:y val="1.5266966629171354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-4,60*</a:t>
                    </a:r>
                    <a:endParaRPr lang="en-US" b="1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1.2994668039377241E-3"/>
                  <c:y val="2.512145072774998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-3,12*</a:t>
                    </a:r>
                    <a:endParaRPr lang="en-US" b="1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1.7365414069004275E-3"/>
                  <c:y val="2.199141016463851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+5,92*</a:t>
                    </a:r>
                    <a:endParaRPr lang="en-US" b="1"/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Сводный индекс потребительских цен  (инфляция)</c:v>
                </c:pt>
                <c:pt idx="1">
                  <c:v>Индекс цен на продовольствен    ные товары</c:v>
                </c:pt>
                <c:pt idx="2">
                  <c:v>Индекс цен на непродовольствен       ные товары</c:v>
                </c:pt>
                <c:pt idx="3">
                  <c:v>Индекс  тарифов на услуги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98.23</c:v>
                </c:pt>
                <c:pt idx="1">
                  <c:v>95.4</c:v>
                </c:pt>
                <c:pt idx="2">
                  <c:v>96.88</c:v>
                </c:pt>
                <c:pt idx="3">
                  <c:v>105.92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январь-декабрь 2016 г.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3.5867792366553802E-3"/>
                  <c:y val="2.751573945413688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+4,44*</a:t>
                    </a:r>
                    <a:endParaRPr lang="en-US" b="1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3.3731773565667316E-3"/>
                  <c:y val="2.544473607465744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+3,80*</a:t>
                    </a:r>
                    <a:endParaRPr lang="en-US" b="1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3.7334845856132411E-3"/>
                  <c:y val="2.906752565020280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+6,88*</a:t>
                    </a:r>
                    <a:endParaRPr lang="en-US" b="1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4.0777741765330184E-3"/>
                  <c:y val="3.41116678596996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 +1,48*</a:t>
                    </a:r>
                    <a:endParaRPr lang="en-US" b="1"/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Сводный индекс потребительских цен  (инфляция)</c:v>
                </c:pt>
                <c:pt idx="1">
                  <c:v>Индекс цен на продовольствен    ные товары</c:v>
                </c:pt>
                <c:pt idx="2">
                  <c:v>Индекс цен на непродовольствен       ные товары</c:v>
                </c:pt>
                <c:pt idx="3">
                  <c:v>Индекс  тарифов на услуги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>
                  <c:v>104.44000000000032</c:v>
                </c:pt>
                <c:pt idx="1">
                  <c:v>103.8</c:v>
                </c:pt>
                <c:pt idx="2">
                  <c:v>106.88</c:v>
                </c:pt>
                <c:pt idx="3">
                  <c:v>101.48</c:v>
                </c:pt>
              </c:numCache>
            </c:numRef>
          </c:val>
        </c:ser>
        <c:axId val="118700288"/>
        <c:axId val="118722560"/>
      </c:barChart>
      <c:catAx>
        <c:axId val="118700288"/>
        <c:scaling>
          <c:orientation val="minMax"/>
        </c:scaling>
        <c:axPos val="b"/>
        <c:tickLblPos val="nextTo"/>
        <c:crossAx val="118722560"/>
        <c:crosses val="autoZero"/>
        <c:auto val="1"/>
        <c:lblAlgn val="ctr"/>
        <c:lblOffset val="100"/>
      </c:catAx>
      <c:valAx>
        <c:axId val="11872256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* - прирост (снижение)  индекса цен,%</a:t>
                </a:r>
              </a:p>
            </c:rich>
          </c:tx>
          <c:layout>
            <c:manualLayout>
              <c:xMode val="edge"/>
              <c:yMode val="edge"/>
              <c:x val="1.70520288594788E-3"/>
              <c:y val="0.72431721034870689"/>
            </c:manualLayout>
          </c:layout>
        </c:title>
        <c:numFmt formatCode="0.00" sourceLinked="1"/>
        <c:tickLblPos val="nextTo"/>
        <c:crossAx val="118700288"/>
        <c:crosses val="autoZero"/>
        <c:crossBetween val="between"/>
        <c:minorUnit val="4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</c:chart>
  <c:spPr>
    <a:noFill/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Сводный индекс потребительских цен (инфляция) в ПМР </a:t>
            </a:r>
          </a:p>
          <a:p>
            <a:pPr>
              <a:defRPr sz="1200"/>
            </a:pPr>
            <a:r>
              <a:rPr lang="ru-RU" sz="1200"/>
              <a:t>в январе-декабре, %</a:t>
            </a:r>
          </a:p>
        </c:rich>
      </c:tx>
      <c:layout>
        <c:manualLayout>
          <c:xMode val="edge"/>
          <c:yMode val="edge"/>
          <c:x val="0.21013093514921499"/>
          <c:y val="3.0392811068108002E-3"/>
        </c:manualLayout>
      </c:layout>
      <c:spPr>
        <a:ln>
          <a:noFill/>
        </a:ln>
      </c:spPr>
    </c:title>
    <c:view3D>
      <c:rotX val="1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1039657020364415E-2"/>
          <c:y val="3.6938543059476282E-2"/>
          <c:w val="0.89575697732318904"/>
          <c:h val="0.7053755996017742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B0F0"/>
            </a:solidFill>
          </c:spPr>
          <c:dPt>
            <c:idx val="9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8.0730126822665445E-3"/>
                  <c:y val="2.1871452085831612E-2"/>
                </c:manualLayout>
              </c:layout>
              <c:showVal val="1"/>
            </c:dLbl>
            <c:dLbl>
              <c:idx val="1"/>
              <c:layout>
                <c:manualLayout>
                  <c:x val="1.2595555780608052E-2"/>
                  <c:y val="2.2258208290001486E-2"/>
                </c:manualLayout>
              </c:layout>
              <c:showVal val="1"/>
            </c:dLbl>
            <c:dLbl>
              <c:idx val="2"/>
              <c:layout>
                <c:manualLayout>
                  <c:x val="8.2391067676026025E-3"/>
                  <c:y val="2.1835784677858672E-2"/>
                </c:manualLayout>
              </c:layout>
              <c:showVal val="1"/>
            </c:dLbl>
            <c:dLbl>
              <c:idx val="3"/>
              <c:layout>
                <c:manualLayout>
                  <c:x val="8.2284730485859704E-3"/>
                  <c:y val="2.2497895310256092E-2"/>
                </c:manualLayout>
              </c:layout>
              <c:showVal val="1"/>
            </c:dLbl>
            <c:dLbl>
              <c:idx val="4"/>
              <c:layout>
                <c:manualLayout>
                  <c:x val="8.2836671139580268E-3"/>
                  <c:y val="1.8876838508393997E-2"/>
                </c:manualLayout>
              </c:layout>
              <c:showVal val="1"/>
            </c:dLbl>
            <c:dLbl>
              <c:idx val="5"/>
              <c:layout>
                <c:manualLayout>
                  <c:x val="8.1930273185305217E-3"/>
                  <c:y val="2.0581389590452141E-2"/>
                </c:manualLayout>
              </c:layout>
              <c:showVal val="1"/>
            </c:dLbl>
            <c:dLbl>
              <c:idx val="6"/>
              <c:layout>
                <c:manualLayout>
                  <c:x val="1.0376484289946081E-2"/>
                  <c:y val="2.036993017382261E-2"/>
                </c:manualLayout>
              </c:layout>
              <c:showVal val="1"/>
            </c:dLbl>
            <c:dLbl>
              <c:idx val="7"/>
              <c:layout>
                <c:manualLayout>
                  <c:x val="5.9815245993547822E-3"/>
                  <c:y val="2.1867470209342182E-2"/>
                </c:manualLayout>
              </c:layout>
              <c:showVal val="1"/>
            </c:dLbl>
            <c:dLbl>
              <c:idx val="8"/>
              <c:layout>
                <c:manualLayout>
                  <c:x val="1.0398764463123778E-2"/>
                  <c:y val="2.1085029465656456E-2"/>
                </c:manualLayout>
              </c:layout>
              <c:showVal val="1"/>
            </c:dLbl>
            <c:dLbl>
              <c:idx val="9"/>
              <c:layout>
                <c:manualLayout>
                  <c:x val="8.211256551130466E-3"/>
                  <c:y val="2.1875897588274566E-2"/>
                </c:manualLayout>
              </c:layout>
              <c:showVal val="1"/>
            </c:dLbl>
            <c:dLbl>
              <c:idx val="10"/>
              <c:layout>
                <c:manualLayout>
                  <c:x val="1.0008692643323122E-2"/>
                  <c:y val="2.2046253652255841E-2"/>
                </c:manualLayout>
              </c:layout>
              <c:showVal val="1"/>
            </c:dLbl>
            <c:dLbl>
              <c:idx val="11"/>
              <c:layout>
                <c:manualLayout>
                  <c:x val="1.056333641425034E-2"/>
                  <c:y val="1.639139456762545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1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  <c:pt idx="5">
                  <c:v>2011 г.</c:v>
                </c:pt>
                <c:pt idx="6">
                  <c:v>2012 г.</c:v>
                </c:pt>
                <c:pt idx="7">
                  <c:v>2013 г.</c:v>
                </c:pt>
                <c:pt idx="8">
                  <c:v>2014 г.</c:v>
                </c:pt>
                <c:pt idx="9">
                  <c:v>2015 г.</c:v>
                </c:pt>
                <c:pt idx="10">
                  <c:v>2016 г.</c:v>
                </c:pt>
              </c:strCache>
            </c:strRef>
          </c:cat>
          <c:val>
            <c:numRef>
              <c:f>Лист1!$B$2:$B$14</c:f>
              <c:numCache>
                <c:formatCode>#,##0.00</c:formatCode>
                <c:ptCount val="11"/>
                <c:pt idx="0">
                  <c:v>108.89</c:v>
                </c:pt>
                <c:pt idx="1">
                  <c:v>129.41999999999999</c:v>
                </c:pt>
                <c:pt idx="2">
                  <c:v>125.11</c:v>
                </c:pt>
                <c:pt idx="3">
                  <c:v>105.7</c:v>
                </c:pt>
                <c:pt idx="4">
                  <c:v>113.24000000000002</c:v>
                </c:pt>
                <c:pt idx="5">
                  <c:v>115.98</c:v>
                </c:pt>
                <c:pt idx="6">
                  <c:v>110.43</c:v>
                </c:pt>
                <c:pt idx="7">
                  <c:v>103.63</c:v>
                </c:pt>
                <c:pt idx="8">
                  <c:v>100.98</c:v>
                </c:pt>
                <c:pt idx="9">
                  <c:v>98.23</c:v>
                </c:pt>
                <c:pt idx="10">
                  <c:v>104.44000000000032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1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  <c:pt idx="5">
                  <c:v>2011 г.</c:v>
                </c:pt>
                <c:pt idx="6">
                  <c:v>2012 г.</c:v>
                </c:pt>
                <c:pt idx="7">
                  <c:v>2013 г.</c:v>
                </c:pt>
                <c:pt idx="8">
                  <c:v>2014 г.</c:v>
                </c:pt>
                <c:pt idx="9">
                  <c:v>2015 г.</c:v>
                </c:pt>
                <c:pt idx="10">
                  <c:v>2016 г.</c:v>
                </c:pt>
              </c:strCache>
            </c:strRef>
          </c:cat>
          <c:val>
            <c:numRef>
              <c:f>Лист1!$C$2:$C$14</c:f>
            </c:numRef>
          </c:val>
          <c:shape val="box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1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  <c:pt idx="5">
                  <c:v>2011 г.</c:v>
                </c:pt>
                <c:pt idx="6">
                  <c:v>2012 г.</c:v>
                </c:pt>
                <c:pt idx="7">
                  <c:v>2013 г.</c:v>
                </c:pt>
                <c:pt idx="8">
                  <c:v>2014 г.</c:v>
                </c:pt>
                <c:pt idx="9">
                  <c:v>2015 г.</c:v>
                </c:pt>
                <c:pt idx="10">
                  <c:v>2016 г.</c:v>
                </c:pt>
              </c:strCache>
            </c:strRef>
          </c:cat>
          <c:val>
            <c:numRef>
              <c:f>Лист1!$D$2:$D$14</c:f>
            </c:numRef>
          </c:val>
          <c:shape val="box"/>
        </c:ser>
        <c:dLbls>
          <c:showVal val="1"/>
        </c:dLbls>
        <c:shape val="cylinder"/>
        <c:axId val="118846208"/>
        <c:axId val="118847744"/>
        <c:axId val="118356608"/>
      </c:bar3DChart>
      <c:catAx>
        <c:axId val="11884620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118847744"/>
        <c:crossesAt val="0"/>
        <c:auto val="1"/>
        <c:lblAlgn val="ctr"/>
        <c:lblOffset val="100"/>
      </c:catAx>
      <c:valAx>
        <c:axId val="118847744"/>
        <c:scaling>
          <c:orientation val="minMax"/>
          <c:max val="140"/>
          <c:min val="80"/>
        </c:scaling>
        <c:axPos val="l"/>
        <c:numFmt formatCode="#,##0.00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8846208"/>
        <c:crosses val="autoZero"/>
        <c:crossBetween val="between"/>
        <c:majorUnit val="20"/>
        <c:minorUnit val="20"/>
      </c:valAx>
      <c:serAx>
        <c:axId val="118356608"/>
        <c:scaling>
          <c:orientation val="minMax"/>
        </c:scaling>
        <c:delete val="1"/>
        <c:axPos val="b"/>
        <c:tickLblPos val="none"/>
        <c:crossAx val="118847744"/>
        <c:crosses val="autoZero"/>
      </c:ser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2015</a:t>
            </a:r>
            <a:r>
              <a:rPr lang="ru-RU"/>
              <a:t> год</a:t>
            </a:r>
            <a:endParaRPr lang="ru-RU" b="0"/>
          </a:p>
        </c:rich>
      </c:tx>
      <c:layout>
        <c:manualLayout>
          <c:xMode val="edge"/>
          <c:yMode val="edge"/>
          <c:x val="0.41323820710256531"/>
          <c:y val="4.1062258522032574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782688766114201E-2"/>
          <c:y val="0.22488519123788772"/>
          <c:w val="0.60329693594930467"/>
          <c:h val="0.74017895490336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explosion val="29"/>
          <c:dPt>
            <c:idx val="0"/>
            <c:explosion val="10"/>
          </c:dPt>
          <c:dPt>
            <c:idx val="1"/>
            <c:explosion val="6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explosion val="11"/>
          </c:dPt>
          <c:dPt>
            <c:idx val="3"/>
            <c:explosion val="18"/>
          </c:dPt>
          <c:dPt>
            <c:idx val="4"/>
            <c:explosion val="21"/>
          </c:dPt>
          <c:dPt>
            <c:idx val="5"/>
            <c:explosion val="21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0009715636374183E-2"/>
                  <c:y val="-3.82080500806964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24,3%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9627035570829888E-2"/>
                  <c:y val="1.3925433233889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40,0%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6.5360711126578944E-2"/>
                  <c:y val="0.251605940561777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12,1%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6832412523020389E-3"/>
                  <c:y val="-6.6519293783929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11,1%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4.0257536868664899E-3"/>
                  <c:y val="-5.33568086597870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4,7%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0.10846652455735863"/>
                  <c:y val="-7.933356156567400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7,8%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черная металлургия</c:v>
                </c:pt>
                <c:pt idx="1">
                  <c:v>электроэнергетика</c:v>
                </c:pt>
                <c:pt idx="2">
                  <c:v>легкая промышленность</c:v>
                </c:pt>
                <c:pt idx="3">
                  <c:v>пищевая промышленность</c:v>
                </c:pt>
                <c:pt idx="4">
                  <c:v>промышленность строительных материалов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2195.9</c:v>
                </c:pt>
                <c:pt idx="1">
                  <c:v>3612.2</c:v>
                </c:pt>
                <c:pt idx="2">
                  <c:v>1091.3</c:v>
                </c:pt>
                <c:pt idx="3" formatCode="General">
                  <c:v>1005.4</c:v>
                </c:pt>
                <c:pt idx="4" formatCode="General">
                  <c:v>422.4</c:v>
                </c:pt>
                <c:pt idx="5">
                  <c:v>708.50000000000159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872000116007763"/>
          <c:y val="0.17872613749368291"/>
          <c:w val="0.38711039573092126"/>
          <c:h val="0.82022464583231447"/>
        </c:manualLayout>
      </c:layout>
      <c:txPr>
        <a:bodyPr/>
        <a:lstStyle/>
        <a:p>
          <a:pPr>
            <a:defRPr sz="8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654429342828994E-2"/>
          <c:y val="7.2690913635795523E-2"/>
          <c:w val="0.92031746827824856"/>
          <c:h val="0.55895211211806073"/>
        </c:manualLayout>
      </c:layout>
      <c:lineChart>
        <c:grouping val="standard"/>
        <c:ser>
          <c:idx val="3"/>
          <c:order val="3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 formatCode="General">
                  <c:v>601.9</c:v>
                </c:pt>
                <c:pt idx="1">
                  <c:v>609</c:v>
                </c:pt>
                <c:pt idx="2" formatCode="General">
                  <c:v>719.1</c:v>
                </c:pt>
                <c:pt idx="3" formatCode="General">
                  <c:v>693.7</c:v>
                </c:pt>
                <c:pt idx="4" formatCode="General">
                  <c:v>766.6</c:v>
                </c:pt>
                <c:pt idx="5" formatCode="General">
                  <c:v>860</c:v>
                </c:pt>
                <c:pt idx="6" formatCode="General">
                  <c:v>916.5</c:v>
                </c:pt>
                <c:pt idx="7" formatCode="General">
                  <c:v>766.4</c:v>
                </c:pt>
                <c:pt idx="8" formatCode="General">
                  <c:v>737.1</c:v>
                </c:pt>
                <c:pt idx="9" formatCode="General">
                  <c:v>783.7</c:v>
                </c:pt>
                <c:pt idx="10" formatCode="General">
                  <c:v>716.3</c:v>
                </c:pt>
                <c:pt idx="11" formatCode="General">
                  <c:v>828.9</c:v>
                </c:pt>
              </c:numCache>
            </c:numRef>
          </c:val>
        </c:ser>
        <c:ser>
          <c:idx val="4"/>
          <c:order val="4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 formatCode="General">
                  <c:v>601.9</c:v>
                </c:pt>
                <c:pt idx="1">
                  <c:v>609</c:v>
                </c:pt>
                <c:pt idx="2" formatCode="General">
                  <c:v>719.1</c:v>
                </c:pt>
                <c:pt idx="3" formatCode="General">
                  <c:v>693.7</c:v>
                </c:pt>
                <c:pt idx="4" formatCode="General">
                  <c:v>766.6</c:v>
                </c:pt>
                <c:pt idx="5" formatCode="General">
                  <c:v>860</c:v>
                </c:pt>
                <c:pt idx="6" formatCode="General">
                  <c:v>916.5</c:v>
                </c:pt>
                <c:pt idx="7" formatCode="General">
                  <c:v>766.4</c:v>
                </c:pt>
                <c:pt idx="8" formatCode="General">
                  <c:v>737.1</c:v>
                </c:pt>
                <c:pt idx="9" formatCode="General">
                  <c:v>783.7</c:v>
                </c:pt>
                <c:pt idx="10" formatCode="General">
                  <c:v>716.3</c:v>
                </c:pt>
                <c:pt idx="11" formatCode="General">
                  <c:v>828.9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3.9910059013323985E-2"/>
                  <c:y val="0.13337822427368437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82,0%*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1"/>
              <c:layout>
                <c:manualLayout>
                  <c:x val="-4.3368273233361808E-2"/>
                  <c:y val="0.200707175753974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77,0%*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2"/>
              <c:layout>
                <c:manualLayout>
                  <c:x val="-4.3053479779995664E-2"/>
                  <c:y val="0.20961522666809509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92,0%*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3"/>
              <c:layout>
                <c:manualLayout>
                  <c:x val="-3.3237541167226811E-2"/>
                  <c:y val="-9.540950238363074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99,9%*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4"/>
              <c:layout>
                <c:manualLayout>
                  <c:x val="-3.9034053864286072E-2"/>
                  <c:y val="7.7911157331748707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94,0%*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5"/>
              <c:layout>
                <c:manualLayout>
                  <c:x val="-3.7440397230098982E-2"/>
                  <c:y val="8.653543307086826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81,6%*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6"/>
              <c:layout>
                <c:manualLayout>
                  <c:x val="-1.5554106692077527E-2"/>
                  <c:y val="6.133544627676254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70,6%*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7"/>
              <c:layout>
                <c:manualLayout>
                  <c:x val="-3.3634752662286639E-2"/>
                  <c:y val="9.5734825599630757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103,6%*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8"/>
              <c:layout>
                <c:manualLayout>
                  <c:x val="-4.8113412575020484E-2"/>
                  <c:y val="8.134502055167654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87,5%*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9"/>
              <c:layout>
                <c:manualLayout>
                  <c:x val="-3.094655365531539E-2"/>
                  <c:y val="-0.212597764902029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92,1%*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10"/>
              <c:layout>
                <c:manualLayout>
                  <c:x val="-4.5908520989016578E-2"/>
                  <c:y val="0.11094867858498818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95,1%*</a:t>
                    </a:r>
                    <a:endParaRPr lang="en-US" sz="800"/>
                  </a:p>
                </c:rich>
              </c:tx>
              <c:dLblPos val="r"/>
            </c:dLbl>
            <c:dLbl>
              <c:idx val="11"/>
              <c:layout>
                <c:manualLayout>
                  <c:x val="0"/>
                  <c:y val="9.202000693309572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85,3%*</a:t>
                    </a:r>
                    <a:endParaRPr lang="en-US" sz="800"/>
                  </a:p>
                </c:rich>
              </c:tx>
              <c:dLblPos val="r"/>
            </c:dLbl>
            <c:spPr>
              <a:noFill/>
              <a:ln w="24917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613.29999999999995</c:v>
                </c:pt>
                <c:pt idx="1">
                  <c:v>733.9</c:v>
                </c:pt>
                <c:pt idx="2">
                  <c:v>894.2</c:v>
                </c:pt>
                <c:pt idx="3">
                  <c:v>693.4</c:v>
                </c:pt>
                <c:pt idx="4" formatCode="0.0">
                  <c:v>721</c:v>
                </c:pt>
                <c:pt idx="5">
                  <c:v>701.8</c:v>
                </c:pt>
                <c:pt idx="6">
                  <c:v>647</c:v>
                </c:pt>
                <c:pt idx="7">
                  <c:v>793.9</c:v>
                </c:pt>
                <c:pt idx="8">
                  <c:v>645.1</c:v>
                </c:pt>
                <c:pt idx="9" formatCode="0.0">
                  <c:v>648</c:v>
                </c:pt>
                <c:pt idx="10" formatCode="0.0">
                  <c:v>752.9</c:v>
                </c:pt>
                <c:pt idx="11">
                  <c:v>707.1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5.0894060216995184E-2"/>
                  <c:y val="-0.10674639726637956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101,9%*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1"/>
              <c:layout>
                <c:manualLayout>
                  <c:x val="-4.7770031930724446E-2"/>
                  <c:y val="-0.16468655703751317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120,5%*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2"/>
              <c:layout>
                <c:manualLayout>
                  <c:x val="-4.7740274503903883E-2"/>
                  <c:y val="-0.19641901905119144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124,4%*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3"/>
              <c:layout>
                <c:manualLayout>
                  <c:x val="-3.8958657237908881E-2"/>
                  <c:y val="7.725003714158378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81,2%*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4"/>
              <c:layout>
                <c:manualLayout>
                  <c:x val="-4.7779560994366164E-2"/>
                  <c:y val="-0.13548136482939852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solidFill>
                          <a:srgbClr val="FF000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8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97,4%*</a:t>
                    </a:r>
                    <a:endParaRPr lang="en-US" sz="8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4917">
                  <a:noFill/>
                </a:ln>
              </c:spPr>
              <c:dLblPos val="r"/>
            </c:dLbl>
            <c:dLbl>
              <c:idx val="5"/>
              <c:layout>
                <c:manualLayout>
                  <c:x val="-4.5493755955664794E-2"/>
                  <c:y val="-7.5661367800723023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94,3%*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6"/>
              <c:layout>
                <c:manualLayout>
                  <c:x val="-3.9544109534078942E-2"/>
                  <c:y val="-7.044817511018669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103,8%*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7"/>
              <c:layout>
                <c:manualLayout>
                  <c:x val="-3.3150275005433244E-2"/>
                  <c:y val="-9.383004011291054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89,6%*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8"/>
              <c:layout>
                <c:manualLayout>
                  <c:x val="-4.1897119547954505E-2"/>
                  <c:y val="-8.168177091071156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92,2%*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9"/>
              <c:layout>
                <c:manualLayout>
                  <c:x val="-4.6219469381613906E-2"/>
                  <c:y val="0.16069991251093621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82,7%*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10"/>
              <c:layout>
                <c:manualLayout>
                  <c:x val="-4.1598375043883862E-2"/>
                  <c:y val="-9.369649548523456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104,3%*</a:t>
                    </a:r>
                    <a:endParaRPr lang="en-US" sz="800"/>
                  </a:p>
                </c:rich>
              </c:tx>
              <c:dLblPos val="r"/>
            </c:dLbl>
            <c:dLbl>
              <c:idx val="11"/>
              <c:layout>
                <c:manualLayout>
                  <c:x val="0"/>
                  <c:y val="-9.720195188407712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100,4%*</a:t>
                    </a:r>
                    <a:endParaRPr lang="en-US" sz="800"/>
                  </a:p>
                </c:rich>
              </c:tx>
              <c:dLblPos val="r"/>
            </c:dLbl>
            <c:spPr>
              <a:noFill/>
              <a:ln w="24917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 formatCode="General">
                  <c:v>601.9</c:v>
                </c:pt>
                <c:pt idx="1">
                  <c:v>609</c:v>
                </c:pt>
                <c:pt idx="2" formatCode="General">
                  <c:v>719.1</c:v>
                </c:pt>
                <c:pt idx="3" formatCode="General">
                  <c:v>693.7</c:v>
                </c:pt>
                <c:pt idx="4" formatCode="General">
                  <c:v>766.6</c:v>
                </c:pt>
                <c:pt idx="5" formatCode="General">
                  <c:v>860</c:v>
                </c:pt>
                <c:pt idx="6" formatCode="General">
                  <c:v>916.5</c:v>
                </c:pt>
                <c:pt idx="7" formatCode="General">
                  <c:v>766.4</c:v>
                </c:pt>
                <c:pt idx="8" formatCode="General">
                  <c:v>737.1</c:v>
                </c:pt>
                <c:pt idx="9" formatCode="General">
                  <c:v>783.7</c:v>
                </c:pt>
                <c:pt idx="10" formatCode="General">
                  <c:v>716.3</c:v>
                </c:pt>
                <c:pt idx="11" formatCode="General">
                  <c:v>828.9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613.29999999999995</c:v>
                </c:pt>
                <c:pt idx="1">
                  <c:v>733.9</c:v>
                </c:pt>
                <c:pt idx="2">
                  <c:v>894.2</c:v>
                </c:pt>
                <c:pt idx="3">
                  <c:v>693.4</c:v>
                </c:pt>
                <c:pt idx="4" formatCode="0.0">
                  <c:v>721</c:v>
                </c:pt>
                <c:pt idx="5">
                  <c:v>701.8</c:v>
                </c:pt>
                <c:pt idx="6">
                  <c:v>647</c:v>
                </c:pt>
                <c:pt idx="7">
                  <c:v>793.9</c:v>
                </c:pt>
                <c:pt idx="8">
                  <c:v>645.1</c:v>
                </c:pt>
                <c:pt idx="9" formatCode="0.0">
                  <c:v>648</c:v>
                </c:pt>
                <c:pt idx="10" formatCode="0.0">
                  <c:v>752.9</c:v>
                </c:pt>
                <c:pt idx="11">
                  <c:v>707.1</c:v>
                </c:pt>
              </c:numCache>
            </c:numRef>
          </c:val>
        </c:ser>
        <c:marker val="1"/>
        <c:axId val="121950592"/>
        <c:axId val="121953280"/>
      </c:lineChart>
      <c:catAx>
        <c:axId val="121950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800"/>
                  <a:t>* - темп </a:t>
                </a:r>
                <a:r>
                  <a:rPr lang="ru-RU" sz="850"/>
                  <a:t>роста</a:t>
                </a:r>
                <a:r>
                  <a:rPr lang="ru-RU" sz="800"/>
                  <a:t> 
к предыдущему году</a:t>
                </a:r>
              </a:p>
            </c:rich>
          </c:tx>
          <c:layout>
            <c:manualLayout>
              <c:xMode val="edge"/>
              <c:yMode val="edge"/>
              <c:x val="4.8377551532173121E-3"/>
              <c:y val="0.79828735693752551"/>
            </c:manualLayout>
          </c:layout>
          <c:spPr>
            <a:noFill/>
            <a:ln w="24917">
              <a:noFill/>
            </a:ln>
          </c:spPr>
        </c:title>
        <c:numFmt formatCode="General" sourceLinked="1"/>
        <c:tickLblPos val="nextTo"/>
        <c:txPr>
          <a:bodyPr/>
          <a:lstStyle/>
          <a:p>
            <a:pPr>
              <a:defRPr sz="883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953280"/>
        <c:crosses val="autoZero"/>
        <c:auto val="1"/>
        <c:lblAlgn val="ctr"/>
        <c:lblOffset val="100"/>
      </c:catAx>
      <c:valAx>
        <c:axId val="121953280"/>
        <c:scaling>
          <c:orientation val="minMax"/>
          <c:min val="3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950592"/>
        <c:crosses val="autoZero"/>
        <c:crossBetween val="between"/>
        <c:majorUnit val="200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8013390842068306"/>
          <c:y val="0.89792805311100865"/>
          <c:w val="0.29728521992076645"/>
          <c:h val="9.7756299775834568E-2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762736388720637E-2"/>
          <c:y val="9.1039604301430821E-2"/>
          <c:w val="0.89483976127187925"/>
          <c:h val="0.61630411583167488"/>
        </c:manualLayout>
      </c:layout>
      <c:lineChart>
        <c:grouping val="standard"/>
        <c:ser>
          <c:idx val="3"/>
          <c:order val="3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 formatCode="General">
                  <c:v>601.9</c:v>
                </c:pt>
                <c:pt idx="1">
                  <c:v>1210.9000000000001</c:v>
                </c:pt>
                <c:pt idx="2" formatCode="General">
                  <c:v>1930</c:v>
                </c:pt>
                <c:pt idx="3" formatCode="General">
                  <c:v>2623.7</c:v>
                </c:pt>
                <c:pt idx="4" formatCode="General">
                  <c:v>3390.3</c:v>
                </c:pt>
                <c:pt idx="5" formatCode="General">
                  <c:v>4250.3</c:v>
                </c:pt>
                <c:pt idx="6" formatCode="General">
                  <c:v>5166.8</c:v>
                </c:pt>
                <c:pt idx="7" formatCode="General">
                  <c:v>5933.2</c:v>
                </c:pt>
                <c:pt idx="8" formatCode="General">
                  <c:v>6670.3</c:v>
                </c:pt>
                <c:pt idx="9" formatCode="General">
                  <c:v>7453.9</c:v>
                </c:pt>
                <c:pt idx="10" formatCode="General">
                  <c:v>8206.7999999999811</c:v>
                </c:pt>
                <c:pt idx="11">
                  <c:v>8515</c:v>
                </c:pt>
              </c:numCache>
            </c:numRef>
          </c:val>
        </c:ser>
        <c:ser>
          <c:idx val="4"/>
          <c:order val="4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 formatCode="General">
                  <c:v>601.9</c:v>
                </c:pt>
                <c:pt idx="1">
                  <c:v>1210.9000000000001</c:v>
                </c:pt>
                <c:pt idx="2" formatCode="General">
                  <c:v>1930</c:v>
                </c:pt>
                <c:pt idx="3" formatCode="General">
                  <c:v>2623.7</c:v>
                </c:pt>
                <c:pt idx="4" formatCode="General">
                  <c:v>3390.3</c:v>
                </c:pt>
                <c:pt idx="5" formatCode="General">
                  <c:v>4250.3</c:v>
                </c:pt>
                <c:pt idx="6" formatCode="General">
                  <c:v>5166.8</c:v>
                </c:pt>
                <c:pt idx="7" formatCode="General">
                  <c:v>5933.2</c:v>
                </c:pt>
                <c:pt idx="8" formatCode="General">
                  <c:v>6670.3</c:v>
                </c:pt>
                <c:pt idx="9" formatCode="General">
                  <c:v>7453.9</c:v>
                </c:pt>
                <c:pt idx="10" formatCode="General">
                  <c:v>8206.7999999999811</c:v>
                </c:pt>
                <c:pt idx="11">
                  <c:v>8515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2.0679217982367642E-2"/>
                  <c:y val="4.384042545862873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82,0%*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1"/>
              <c:layout>
                <c:manualLayout>
                  <c:x val="-7.0435426340938268E-3"/>
                  <c:y val="3.341586238728035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79,4%*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2"/>
              <c:layout>
                <c:manualLayout>
                  <c:x val="-1.1002254525876535E-2"/>
                  <c:y val="4.705451188680161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83,7%*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3"/>
              <c:layout>
                <c:manualLayout>
                  <c:x val="-5.8878625748704491E-2"/>
                  <c:y val="-3.827253876729979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111,9%*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4"/>
              <c:layout>
                <c:manualLayout>
                  <c:x val="-1.3393061444242561E-2"/>
                  <c:y val="4.3045062405173903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85,9%*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5"/>
              <c:layout>
                <c:manualLayout>
                  <c:x val="-9.6626623595127709E-3"/>
                  <c:y val="4.051611658778873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87,5%*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6"/>
              <c:layout>
                <c:manualLayout>
                  <c:x val="-7.1204993606568415E-2"/>
                  <c:y val="-4.657742782152251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90,0%*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7"/>
              <c:layout>
                <c:manualLayout>
                  <c:x val="-6.7931893128743523E-2"/>
                  <c:y val="-5.049381485542188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89,9%*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8"/>
              <c:layout>
                <c:manualLayout>
                  <c:x val="-6.1070058550373466E-2"/>
                  <c:y val="-4.599610088109071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90,2%*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9"/>
              <c:layout>
                <c:manualLayout>
                  <c:x val="-1.3866175381923435E-2"/>
                  <c:y val="3.391434338424233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95,1%*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10"/>
              <c:layout>
                <c:manualLayout>
                  <c:x val="-2.0376371222827989E-2"/>
                  <c:y val="5.661799317338853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95,1%*</a:t>
                    </a:r>
                    <a:endParaRPr lang="en-US" sz="800"/>
                  </a:p>
                </c:rich>
              </c:tx>
              <c:dLblPos val="r"/>
            </c:dLbl>
            <c:dLbl>
              <c:idx val="11"/>
              <c:layout>
                <c:manualLayout>
                  <c:x val="0"/>
                  <c:y val="6.47369783002479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92,2%*</a:t>
                    </a:r>
                    <a:endParaRPr lang="en-US" sz="800"/>
                  </a:p>
                </c:rich>
              </c:tx>
              <c:dLblPos val="r"/>
            </c:dLbl>
            <c:spPr>
              <a:noFill/>
              <a:ln w="24917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613.29999999999995</c:v>
                </c:pt>
                <c:pt idx="1">
                  <c:v>1347.2</c:v>
                </c:pt>
                <c:pt idx="2">
                  <c:v>2241.4</c:v>
                </c:pt>
                <c:pt idx="3">
                  <c:v>2934.8</c:v>
                </c:pt>
                <c:pt idx="4" formatCode="0.0">
                  <c:v>3655.8</c:v>
                </c:pt>
                <c:pt idx="5">
                  <c:v>4357.6000000000004</c:v>
                </c:pt>
                <c:pt idx="6">
                  <c:v>5004.6000000000004</c:v>
                </c:pt>
                <c:pt idx="7">
                  <c:v>5798.4</c:v>
                </c:pt>
                <c:pt idx="8">
                  <c:v>6443.5</c:v>
                </c:pt>
                <c:pt idx="9">
                  <c:v>7091.5</c:v>
                </c:pt>
                <c:pt idx="10" formatCode="0.0">
                  <c:v>7807.8</c:v>
                </c:pt>
                <c:pt idx="11">
                  <c:v>9035.7000000000007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5.5208459519483125E-2"/>
                  <c:y val="-5.672322455756029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101,9%*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1"/>
              <c:layout>
                <c:manualLayout>
                  <c:x val="-5.6317046907598124E-2"/>
                  <c:y val="-5.0609461218922437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111,3%*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2"/>
              <c:layout>
                <c:manualLayout>
                  <c:x val="-6.4834107275052164E-2"/>
                  <c:y val="-5.1275204772631769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116,1%*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3"/>
              <c:layout>
                <c:manualLayout>
                  <c:x val="-2.4028534894676604E-2"/>
                  <c:y val="3.597991195982398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83,0%*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4"/>
              <c:layout>
                <c:manualLayout>
                  <c:x val="-6.7037485698903096E-2"/>
                  <c:y val="-3.6502090781959443E-2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solidFill>
                          <a:srgbClr val="FF000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8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107,8%*</a:t>
                    </a:r>
                    <a:endParaRPr lang="en-US" sz="8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 w="24917">
                  <a:noFill/>
                </a:ln>
              </c:spPr>
              <c:dLblPos val="r"/>
            </c:dLbl>
            <c:dLbl>
              <c:idx val="5"/>
              <c:layout>
                <c:manualLayout>
                  <c:x val="-6.4724577697018823E-2"/>
                  <c:y val="-3.8275829157718919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102,5%*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6"/>
              <c:layout>
                <c:manualLayout>
                  <c:x val="-7.6561343293626806E-3"/>
                  <c:y val="3.802040492969873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96,9%*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7"/>
              <c:layout>
                <c:manualLayout>
                  <c:x val="-9.7684904771518938E-3"/>
                  <c:y val="5.235437675553713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97,7%*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8"/>
              <c:layout>
                <c:manualLayout>
                  <c:x val="-9.954572986069065E-3"/>
                  <c:y val="4.8211296422592843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96,6%*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9"/>
              <c:layout>
                <c:manualLayout>
                  <c:x val="-5.7066592637458828E-2"/>
                  <c:y val="-3.093916410055044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90,4%*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</c:dLbl>
            <c:dLbl>
              <c:idx val="10"/>
              <c:layout>
                <c:manualLayout>
                  <c:x val="-6.0856383336698357E-2"/>
                  <c:y val="-3.439022878045757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91,5%*</a:t>
                    </a:r>
                    <a:endParaRPr lang="en-US" sz="800"/>
                  </a:p>
                </c:rich>
              </c:tx>
              <c:dLblPos val="r"/>
            </c:dLbl>
            <c:dLbl>
              <c:idx val="11"/>
              <c:layout>
                <c:manualLayout>
                  <c:x val="0"/>
                  <c:y val="-6.59031705543849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94,2%*</a:t>
                    </a:r>
                    <a:endParaRPr lang="en-US" sz="800"/>
                  </a:p>
                </c:rich>
              </c:tx>
              <c:dLblPos val="r"/>
            </c:dLbl>
            <c:spPr>
              <a:noFill/>
              <a:ln w="24917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 formatCode="General">
                  <c:v>601.9</c:v>
                </c:pt>
                <c:pt idx="1">
                  <c:v>1210.9000000000001</c:v>
                </c:pt>
                <c:pt idx="2" formatCode="General">
                  <c:v>1930</c:v>
                </c:pt>
                <c:pt idx="3" formatCode="General">
                  <c:v>2623.7</c:v>
                </c:pt>
                <c:pt idx="4" formatCode="General">
                  <c:v>3390.3</c:v>
                </c:pt>
                <c:pt idx="5" formatCode="General">
                  <c:v>4250.3</c:v>
                </c:pt>
                <c:pt idx="6" formatCode="General">
                  <c:v>5166.8</c:v>
                </c:pt>
                <c:pt idx="7" formatCode="General">
                  <c:v>5933.2</c:v>
                </c:pt>
                <c:pt idx="8" formatCode="General">
                  <c:v>6670.3</c:v>
                </c:pt>
                <c:pt idx="9" formatCode="General">
                  <c:v>7453.9</c:v>
                </c:pt>
                <c:pt idx="10" formatCode="General">
                  <c:v>8206.7999999999811</c:v>
                </c:pt>
                <c:pt idx="11">
                  <c:v>8515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pPr>
              <a:ln>
                <a:bevel/>
              </a:ln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613.29999999999995</c:v>
                </c:pt>
                <c:pt idx="1">
                  <c:v>1347.2</c:v>
                </c:pt>
                <c:pt idx="2">
                  <c:v>2241.4</c:v>
                </c:pt>
                <c:pt idx="3">
                  <c:v>2934.8</c:v>
                </c:pt>
                <c:pt idx="4" formatCode="0.0">
                  <c:v>3655.8</c:v>
                </c:pt>
                <c:pt idx="5">
                  <c:v>4357.6000000000004</c:v>
                </c:pt>
                <c:pt idx="6">
                  <c:v>5004.6000000000004</c:v>
                </c:pt>
                <c:pt idx="7">
                  <c:v>5798.4</c:v>
                </c:pt>
                <c:pt idx="8">
                  <c:v>6443.5</c:v>
                </c:pt>
                <c:pt idx="9">
                  <c:v>7091.5</c:v>
                </c:pt>
                <c:pt idx="10" formatCode="0.0">
                  <c:v>7807.8</c:v>
                </c:pt>
                <c:pt idx="11">
                  <c:v>9035.7000000000007</c:v>
                </c:pt>
              </c:numCache>
            </c:numRef>
          </c:val>
        </c:ser>
        <c:marker val="1"/>
        <c:axId val="102287232"/>
        <c:axId val="102646144"/>
      </c:lineChart>
      <c:catAx>
        <c:axId val="102287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800"/>
                  <a:t>* - темп </a:t>
                </a:r>
                <a:r>
                  <a:rPr lang="ru-RU" sz="850"/>
                  <a:t>роста</a:t>
                </a:r>
                <a:r>
                  <a:rPr lang="ru-RU" sz="800"/>
                  <a:t> 
к предыдущему году</a:t>
                </a:r>
              </a:p>
            </c:rich>
          </c:tx>
          <c:layout>
            <c:manualLayout>
              <c:xMode val="edge"/>
              <c:yMode val="edge"/>
              <c:x val="0.12879652062722929"/>
              <c:y val="0.10952005015121169"/>
            </c:manualLayout>
          </c:layout>
          <c:spPr>
            <a:noFill/>
            <a:ln w="24917">
              <a:noFill/>
            </a:ln>
          </c:spPr>
        </c:title>
        <c:numFmt formatCode="General" sourceLinked="1"/>
        <c:tickLblPos val="nextTo"/>
        <c:txPr>
          <a:bodyPr/>
          <a:lstStyle/>
          <a:p>
            <a:pPr>
              <a:defRPr sz="8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646144"/>
        <c:crosses val="autoZero"/>
        <c:auto val="1"/>
        <c:lblAlgn val="ctr"/>
        <c:lblOffset val="100"/>
      </c:catAx>
      <c:valAx>
        <c:axId val="102646144"/>
        <c:scaling>
          <c:orientation val="minMax"/>
          <c:min val="3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28723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delete val="1"/>
      </c:legendEntry>
      <c:layout>
        <c:manualLayout>
          <c:xMode val="edge"/>
          <c:yMode val="edge"/>
          <c:x val="0.38013390842068306"/>
          <c:y val="0.89792805311100865"/>
          <c:w val="0.29728521992076684"/>
          <c:h val="9.7756299775834568E-2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lrMapOvr bg1="lt1" tx1="dk1" bg2="lt2" tx2="dk2" accent1="accent1" accent2="accent2" accent3="accent3" accent4="accent4" accent5="accent5" accent6="accent6" hlink="hlink" folHlink="folHlink"/>
  <c:chart>
    <c:view3D>
      <c:rotX val="0"/>
      <c:rotY val="0"/>
      <c:depthPercent val="100"/>
      <c:perspective val="30"/>
    </c:view3D>
    <c:plotArea>
      <c:layout>
        <c:manualLayout>
          <c:layoutTarget val="inner"/>
          <c:xMode val="edge"/>
          <c:yMode val="edge"/>
          <c:x val="8.0304018651864206E-2"/>
          <c:y val="5.784938919672078E-2"/>
          <c:w val="0.91969598134817498"/>
          <c:h val="0.457792359288422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2015 года</c:v>
                </c:pt>
              </c:strCache>
            </c:strRef>
          </c:tx>
          <c:spPr>
            <a:solidFill>
              <a:srgbClr val="8064A2">
                <a:lumMod val="40000"/>
                <a:lumOff val="60000"/>
              </a:srgbClr>
            </a:solidFill>
          </c:spPr>
          <c:dLbls>
            <c:dLbl>
              <c:idx val="0"/>
              <c:layout>
                <c:manualLayout>
                  <c:x val="-4.3172410374201714E-3"/>
                  <c:y val="1.7242075509792103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98,3*</a:t>
                    </a:r>
                    <a:endParaRPr lang="en-US" sz="750" b="1"/>
                  </a:p>
                </c:rich>
              </c:tx>
            </c:dLbl>
            <c:dLbl>
              <c:idx val="1"/>
              <c:layout>
                <c:manualLayout>
                  <c:x val="8.6858738670258038E-3"/>
                  <c:y val="1.0255972240758041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116,6*</a:t>
                    </a:r>
                    <a:endParaRPr lang="en-US" sz="750" b="1"/>
                  </a:p>
                </c:rich>
              </c:tx>
            </c:dLbl>
            <c:dLbl>
              <c:idx val="2"/>
              <c:layout>
                <c:manualLayout>
                  <c:x val="4.4814964761094513E-4"/>
                  <c:y val="-3.9759981770767401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90,3*</a:t>
                    </a:r>
                    <a:endParaRPr lang="en-US" sz="750" b="1"/>
                  </a:p>
                </c:rich>
              </c:tx>
            </c:dLbl>
            <c:dLbl>
              <c:idx val="3"/>
              <c:layout>
                <c:manualLayout>
                  <c:x val="2.1378941742383802E-3"/>
                  <c:y val="1.2326863397394481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89,6*</a:t>
                    </a:r>
                    <a:endParaRPr lang="en-US" sz="750" b="1"/>
                  </a:p>
                </c:rich>
              </c:tx>
            </c:dLbl>
            <c:dLbl>
              <c:idx val="4"/>
              <c:layout>
                <c:manualLayout>
                  <c:x val="8.2055010699738223E-3"/>
                  <c:y val="3.0615788411064095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118,2*</a:t>
                    </a:r>
                    <a:endParaRPr lang="en-US" sz="750" b="1"/>
                  </a:p>
                </c:rich>
              </c:tx>
            </c:dLbl>
            <c:dLbl>
              <c:idx val="5"/>
              <c:layout>
                <c:manualLayout>
                  <c:x val="3.068803999713825E-4"/>
                  <c:y val="2.8534731030961553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38,1*</a:t>
                    </a:r>
                    <a:endParaRPr lang="en-US" sz="750" b="1"/>
                  </a:p>
                </c:rich>
              </c:tx>
            </c:dLbl>
            <c:dLbl>
              <c:idx val="6"/>
              <c:layout>
                <c:manualLayout>
                  <c:x val="-3.8618205253199652E-3"/>
                  <c:y val="5.7543610907157504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91,9*</a:t>
                    </a:r>
                    <a:endParaRPr lang="en-US" sz="750" b="1"/>
                  </a:p>
                </c:rich>
              </c:tx>
            </c:dLbl>
            <c:dLbl>
              <c:idx val="7"/>
              <c:layout>
                <c:manualLayout>
                  <c:x val="-6.1668498153365772E-3"/>
                  <c:y val="-4.3016353725015138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84,3*</a:t>
                    </a:r>
                    <a:endParaRPr lang="en-US" sz="750" b="1"/>
                  </a:p>
                </c:rich>
              </c:tx>
            </c:dLbl>
            <c:dLbl>
              <c:idx val="8"/>
              <c:layout>
                <c:manualLayout>
                  <c:x val="-3.4420933479853014E-3"/>
                  <c:y val="6.1804029982147311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87,7*</a:t>
                    </a:r>
                    <a:endParaRPr lang="en-US" sz="750" b="1"/>
                  </a:p>
                </c:rich>
              </c:tx>
            </c:dLbl>
            <c:dLbl>
              <c:idx val="9"/>
              <c:layout>
                <c:manualLayout>
                  <c:x val="-3.6142806388446292E-3"/>
                  <c:y val="7.9519963541534924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108,9*</a:t>
                    </a:r>
                    <a:endParaRPr lang="en-US" sz="750" b="1"/>
                  </a:p>
                </c:rich>
              </c:tx>
            </c:dLbl>
            <c:dLbl>
              <c:idx val="10"/>
              <c:layout>
                <c:manualLayout>
                  <c:x val="-1.4764812320810401E-3"/>
                  <c:y val="-3.6106708526385992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>
                        <a:solidFill>
                          <a:sysClr val="windowText" lastClr="000000"/>
                        </a:solidFill>
                      </a:rPr>
                      <a:t>в 8,7 р.*</a:t>
                    </a:r>
                    <a:endParaRPr lang="en-US" sz="750" b="1">
                      <a:solidFill>
                        <a:sysClr val="windowText" lastClr="000000"/>
                      </a:solidFill>
                    </a:endParaRPr>
                  </a:p>
                </c:rich>
              </c:tx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750" b="1"/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Электроэнергетика</c:v>
                </c:pt>
                <c:pt idx="1">
                  <c:v>Черная металлургия</c:v>
                </c:pt>
                <c:pt idx="2">
                  <c:v>Химическая промышленность</c:v>
                </c:pt>
                <c:pt idx="3">
                  <c:v>Машиностроение и металлообработка</c:v>
                </c:pt>
                <c:pt idx="4">
                  <c:v>Электротехническая промышленность</c:v>
                </c:pt>
                <c:pt idx="5">
                  <c:v>Лесная и деревообрабатывающая промышленность</c:v>
                </c:pt>
                <c:pt idx="6">
                  <c:v>Промышленность строительных материалов</c:v>
                </c:pt>
                <c:pt idx="7">
                  <c:v>Легкая промышленность</c:v>
                </c:pt>
                <c:pt idx="8">
                  <c:v>Пищевая промышленность</c:v>
                </c:pt>
                <c:pt idx="9">
                  <c:v>Мукомольно-крупянная и комбикормовая</c:v>
                </c:pt>
                <c:pt idx="10">
                  <c:v>Полиграфическая промышленность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340.8</c:v>
                </c:pt>
                <c:pt idx="1">
                  <c:v>189.1</c:v>
                </c:pt>
                <c:pt idx="2">
                  <c:v>16.8</c:v>
                </c:pt>
                <c:pt idx="3">
                  <c:v>15.7</c:v>
                </c:pt>
                <c:pt idx="4">
                  <c:v>22.1</c:v>
                </c:pt>
                <c:pt idx="5">
                  <c:v>0.70000000000000062</c:v>
                </c:pt>
                <c:pt idx="6">
                  <c:v>29</c:v>
                </c:pt>
                <c:pt idx="7">
                  <c:v>95.1</c:v>
                </c:pt>
                <c:pt idx="8">
                  <c:v>90</c:v>
                </c:pt>
                <c:pt idx="9">
                  <c:v>13</c:v>
                </c:pt>
                <c:pt idx="10">
                  <c:v>16.5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2016 года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dLbls>
            <c:dLbl>
              <c:idx val="0"/>
              <c:layout>
                <c:manualLayout>
                  <c:x val="2.2736323751766204E-2"/>
                  <c:y val="2.9275186755501812E-4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99,5*</a:t>
                    </a:r>
                    <a:endParaRPr lang="en-US" sz="750" b="1"/>
                  </a:p>
                </c:rich>
              </c:tx>
            </c:dLbl>
            <c:dLbl>
              <c:idx val="1"/>
              <c:layout>
                <c:manualLayout>
                  <c:x val="1.6429840288851621E-2"/>
                  <c:y val="5.3604071195280734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37,9* </a:t>
                    </a:r>
                    <a:endParaRPr lang="en-US" sz="750" b="1"/>
                  </a:p>
                </c:rich>
              </c:tx>
            </c:dLbl>
            <c:dLbl>
              <c:idx val="2"/>
              <c:layout>
                <c:manualLayout>
                  <c:x val="8.5725144797614544E-3"/>
                  <c:y val="-5.644256006460726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94,0*</a:t>
                    </a:r>
                    <a:endParaRPr lang="en-US" sz="750" b="1"/>
                  </a:p>
                </c:rich>
              </c:tx>
            </c:dLbl>
            <c:dLbl>
              <c:idx val="3"/>
              <c:layout>
                <c:manualLayout>
                  <c:x val="5.9807817831798102E-3"/>
                  <c:y val="-2.8837043517709549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151,6*</a:t>
                    </a:r>
                    <a:endParaRPr lang="en-US" sz="750" b="1"/>
                  </a:p>
                </c:rich>
              </c:tx>
            </c:dLbl>
            <c:dLbl>
              <c:idx val="4"/>
              <c:layout>
                <c:manualLayout>
                  <c:x val="1.0178053556526838E-2"/>
                  <c:y val="-5.8859277205733904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45,2*</a:t>
                    </a:r>
                    <a:endParaRPr lang="en-US" sz="750" b="1"/>
                  </a:p>
                </c:rich>
              </c:tx>
            </c:dLbl>
            <c:dLbl>
              <c:idx val="5"/>
              <c:layout>
                <c:manualLayout>
                  <c:x val="1.1765580718989848E-4"/>
                  <c:y val="-4.4552919631027532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146,7*</a:t>
                    </a:r>
                    <a:endParaRPr lang="en-US" sz="750" b="1"/>
                  </a:p>
                </c:rich>
              </c:tx>
            </c:dLbl>
            <c:dLbl>
              <c:idx val="6"/>
              <c:layout>
                <c:manualLayout>
                  <c:x val="-1.5037469739150072E-4"/>
                  <c:y val="-4.8167171411265898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60,7*</a:t>
                    </a:r>
                    <a:endParaRPr lang="en-US" sz="750" b="1"/>
                  </a:p>
                </c:rich>
              </c:tx>
            </c:dLbl>
            <c:dLbl>
              <c:idx val="7"/>
              <c:layout>
                <c:manualLayout>
                  <c:x val="4.4955424643273534E-3"/>
                  <c:y val="-2.8228548354532573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122,8*</a:t>
                    </a:r>
                    <a:endParaRPr lang="en-US" sz="750" b="1"/>
                  </a:p>
                </c:rich>
              </c:tx>
            </c:dLbl>
            <c:dLbl>
              <c:idx val="8"/>
              <c:layout>
                <c:manualLayout>
                  <c:x val="6.5938478571605733E-3"/>
                  <c:y val="-2.243771451645489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107,4*</a:t>
                    </a:r>
                    <a:endParaRPr lang="en-US" sz="750" b="1"/>
                  </a:p>
                </c:rich>
              </c:tx>
            </c:dLbl>
            <c:dLbl>
              <c:idx val="9"/>
              <c:layout>
                <c:manualLayout>
                  <c:x val="2.1379600999795602E-3"/>
                  <c:y val="-3.4962157003101887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91,8*</a:t>
                    </a:r>
                    <a:endParaRPr lang="en-US" sz="750" b="1"/>
                  </a:p>
                </c:rich>
              </c:tx>
            </c:dLbl>
            <c:dLbl>
              <c:idx val="10"/>
              <c:layout>
                <c:manualLayout>
                  <c:x val="9.6188579785344251E-3"/>
                  <c:y val="-1.4856450635978201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 baseline="0"/>
                      <a:t>16,6*</a:t>
                    </a:r>
                    <a:endParaRPr lang="en-US" sz="750" b="1"/>
                  </a:p>
                </c:rich>
              </c:tx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750" b="1"/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Электроэнергетика</c:v>
                </c:pt>
                <c:pt idx="1">
                  <c:v>Черная металлургия</c:v>
                </c:pt>
                <c:pt idx="2">
                  <c:v>Химическая промышленность</c:v>
                </c:pt>
                <c:pt idx="3">
                  <c:v>Машиностроение и металлообработка</c:v>
                </c:pt>
                <c:pt idx="4">
                  <c:v>Электротехническая промышленность</c:v>
                </c:pt>
                <c:pt idx="5">
                  <c:v>Лесная и деревообрабатывающая промышленность</c:v>
                </c:pt>
                <c:pt idx="6">
                  <c:v>Промышленность строительных материалов</c:v>
                </c:pt>
                <c:pt idx="7">
                  <c:v>Легкая промышленность</c:v>
                </c:pt>
                <c:pt idx="8">
                  <c:v>Пищевая промышленность</c:v>
                </c:pt>
                <c:pt idx="9">
                  <c:v>Мукомольно-крупянная и комбикормовая</c:v>
                </c:pt>
                <c:pt idx="10">
                  <c:v>Полиграфическая промышленность</c:v>
                </c:pt>
              </c:strCache>
            </c:strRef>
          </c:cat>
          <c:val>
            <c:numRef>
              <c:f>Лист1!$C$2:$C$12</c:f>
              <c:numCache>
                <c:formatCode>#,##0.0</c:formatCode>
                <c:ptCount val="11"/>
                <c:pt idx="0">
                  <c:v>339</c:v>
                </c:pt>
                <c:pt idx="1">
                  <c:v>71.599999999999994</c:v>
                </c:pt>
                <c:pt idx="2">
                  <c:v>15.8</c:v>
                </c:pt>
                <c:pt idx="3">
                  <c:v>23.8</c:v>
                </c:pt>
                <c:pt idx="4">
                  <c:v>10</c:v>
                </c:pt>
                <c:pt idx="5">
                  <c:v>1.1000000000000001</c:v>
                </c:pt>
                <c:pt idx="6">
                  <c:v>17.600000000000001</c:v>
                </c:pt>
                <c:pt idx="7">
                  <c:v>116.8</c:v>
                </c:pt>
                <c:pt idx="8">
                  <c:v>96.7</c:v>
                </c:pt>
                <c:pt idx="9">
                  <c:v>12</c:v>
                </c:pt>
                <c:pt idx="10">
                  <c:v>2.7</c:v>
                </c:pt>
              </c:numCache>
            </c:numRef>
          </c:val>
        </c:ser>
        <c:shape val="cylinder"/>
        <c:axId val="102669696"/>
        <c:axId val="102691968"/>
        <c:axId val="0"/>
      </c:bar3DChart>
      <c:catAx>
        <c:axId val="102669696"/>
        <c:scaling>
          <c:orientation val="minMax"/>
        </c:scaling>
        <c:axPos val="b"/>
        <c:numFmt formatCode="General" sourceLinked="1"/>
        <c:tickLblPos val="nextTo"/>
        <c:txPr>
          <a:bodyPr rot="5400000" vert="horz"/>
          <a:lstStyle/>
          <a:p>
            <a:pPr>
              <a:defRPr sz="800" b="1"/>
            </a:pPr>
            <a:endParaRPr lang="ru-RU"/>
          </a:p>
        </c:txPr>
        <c:crossAx val="102691968"/>
        <c:crosses val="autoZero"/>
        <c:auto val="1"/>
        <c:lblAlgn val="ctr"/>
        <c:lblOffset val="100"/>
      </c:catAx>
      <c:valAx>
        <c:axId val="102691968"/>
        <c:scaling>
          <c:orientation val="minMax"/>
        </c:scaling>
        <c:axPos val="l"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2669696"/>
        <c:crosses val="autoZero"/>
        <c:crossBetween val="between"/>
        <c:majorUnit val="50"/>
      </c:valAx>
      <c:spPr>
        <a:noFill/>
        <a:ln w="2539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55676810073452254"/>
          <c:y val="0.93574299212598966"/>
          <c:w val="0.43969925806518279"/>
          <c:h val="6.4257028112449793E-2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lrMapOvr bg1="lt1" tx1="dk1" bg2="lt2" tx2="dk2" accent1="accent1" accent2="accent2" accent3="accent3" accent4="accent4" accent5="accent5" accent6="accent6" hlink="hlink" folHlink="folHlink"/>
  <c:chart>
    <c:view3D>
      <c:rotX val="0"/>
      <c:rotY val="0"/>
      <c:depthPercent val="100"/>
      <c:perspective val="30"/>
    </c:view3D>
    <c:plotArea>
      <c:layout>
        <c:manualLayout>
          <c:layoutTarget val="inner"/>
          <c:xMode val="edge"/>
          <c:yMode val="edge"/>
          <c:x val="8.0304018651864206E-2"/>
          <c:y val="5.784938919672078E-2"/>
          <c:w val="0.91969598134817543"/>
          <c:h val="0.457792359288422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2015 год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dLbls>
            <c:dLbl>
              <c:idx val="0"/>
              <c:layout>
                <c:manualLayout>
                  <c:x val="1.9786666226008541E-3"/>
                  <c:y val="1.857510757863768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115,7*</a:t>
                    </a:r>
                    <a:endParaRPr lang="en-US" sz="750" b="1"/>
                  </a:p>
                </c:rich>
              </c:tx>
            </c:dLbl>
            <c:dLbl>
              <c:idx val="1"/>
              <c:layout>
                <c:manualLayout>
                  <c:x val="2.3899662070048211E-3"/>
                  <c:y val="5.7361982294586843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81,9*</a:t>
                    </a:r>
                    <a:endParaRPr lang="en-US" sz="750" b="1"/>
                  </a:p>
                </c:rich>
              </c:tx>
            </c:dLbl>
            <c:dLbl>
              <c:idx val="2"/>
              <c:layout>
                <c:manualLayout>
                  <c:x val="4.4814964761094513E-4"/>
                  <c:y val="-3.9759981770767401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64,2*</a:t>
                    </a:r>
                    <a:endParaRPr lang="en-US" sz="750" b="1"/>
                  </a:p>
                </c:rich>
              </c:tx>
            </c:dLbl>
            <c:dLbl>
              <c:idx val="3"/>
              <c:layout>
                <c:manualLayout>
                  <c:x val="2.1378941742383802E-3"/>
                  <c:y val="1.2326863397394481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90,0*</a:t>
                    </a:r>
                    <a:endParaRPr lang="en-US" sz="750" b="1"/>
                  </a:p>
                </c:rich>
              </c:tx>
            </c:dLbl>
            <c:dLbl>
              <c:idx val="4"/>
              <c:layout>
                <c:manualLayout>
                  <c:x val="6.1068021227442858E-3"/>
                  <c:y val="8.1899337050953744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90,3*</a:t>
                    </a:r>
                    <a:endParaRPr lang="en-US" sz="750" b="1"/>
                  </a:p>
                </c:rich>
              </c:tx>
            </c:dLbl>
            <c:dLbl>
              <c:idx val="5"/>
              <c:layout>
                <c:manualLayout>
                  <c:x val="3.068803999713825E-4"/>
                  <c:y val="2.8534731030961553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49,3*</a:t>
                    </a:r>
                    <a:endParaRPr lang="en-US" sz="750" b="1"/>
                  </a:p>
                </c:rich>
              </c:tx>
            </c:dLbl>
            <c:dLbl>
              <c:idx val="6"/>
              <c:layout>
                <c:manualLayout>
                  <c:x val="-3.8618205253199652E-3"/>
                  <c:y val="5.7543610907157504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67,9*</a:t>
                    </a:r>
                    <a:endParaRPr lang="en-US" sz="750" b="1"/>
                  </a:p>
                </c:rich>
              </c:tx>
            </c:dLbl>
            <c:dLbl>
              <c:idx val="7"/>
              <c:layout>
                <c:manualLayout>
                  <c:x val="-6.1668498153365824E-3"/>
                  <c:y val="1.169126740513368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85,1*</a:t>
                    </a:r>
                    <a:endParaRPr lang="en-US" sz="750" b="1"/>
                  </a:p>
                </c:rich>
              </c:tx>
            </c:dLbl>
            <c:dLbl>
              <c:idx val="8"/>
              <c:layout>
                <c:manualLayout>
                  <c:x val="7.5517842536209734E-4"/>
                  <c:y val="6.180456951077877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78,6*</a:t>
                    </a:r>
                    <a:endParaRPr lang="en-US" sz="750" b="1"/>
                  </a:p>
                </c:rich>
              </c:tx>
            </c:dLbl>
            <c:dLbl>
              <c:idx val="9"/>
              <c:layout>
                <c:manualLayout>
                  <c:x val="-3.6142806388446292E-3"/>
                  <c:y val="7.9519963541534924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88,4*</a:t>
                    </a:r>
                    <a:endParaRPr lang="en-US" sz="750" b="1"/>
                  </a:p>
                </c:rich>
              </c:tx>
            </c:dLbl>
            <c:dLbl>
              <c:idx val="10"/>
              <c:layout>
                <c:manualLayout>
                  <c:x val="-1.4764812320810401E-3"/>
                  <c:y val="-3.6106708526385992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>
                        <a:solidFill>
                          <a:sysClr val="windowText" lastClr="000000"/>
                        </a:solidFill>
                      </a:rPr>
                      <a:t>в 2,8 р.</a:t>
                    </a:r>
                    <a:endParaRPr lang="en-US" sz="750" b="1">
                      <a:solidFill>
                        <a:sysClr val="windowText" lastClr="000000"/>
                      </a:solidFill>
                    </a:endParaRPr>
                  </a:p>
                </c:rich>
              </c:tx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750" b="1"/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Электроэнергетика</c:v>
                </c:pt>
                <c:pt idx="1">
                  <c:v>Черная металлургия</c:v>
                </c:pt>
                <c:pt idx="2">
                  <c:v>Химическая промышленность</c:v>
                </c:pt>
                <c:pt idx="3">
                  <c:v>Машиностроение и металлообработка</c:v>
                </c:pt>
                <c:pt idx="4">
                  <c:v>Электротехническая промышленность</c:v>
                </c:pt>
                <c:pt idx="5">
                  <c:v>Лесная и деревообрабатывающая промышленность</c:v>
                </c:pt>
                <c:pt idx="6">
                  <c:v>Промышленность строительных материалов</c:v>
                </c:pt>
                <c:pt idx="7">
                  <c:v>Легкая промышленность</c:v>
                </c:pt>
                <c:pt idx="8">
                  <c:v>Пищевая промышленность</c:v>
                </c:pt>
                <c:pt idx="9">
                  <c:v>Мукомольно-крупянная и комбикормовая</c:v>
                </c:pt>
                <c:pt idx="10">
                  <c:v>Полиграфическая промышленность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3612.2</c:v>
                </c:pt>
                <c:pt idx="1">
                  <c:v>2195.9</c:v>
                </c:pt>
                <c:pt idx="2">
                  <c:v>121.7</c:v>
                </c:pt>
                <c:pt idx="3">
                  <c:v>208.5</c:v>
                </c:pt>
                <c:pt idx="4">
                  <c:v>182.6</c:v>
                </c:pt>
                <c:pt idx="5">
                  <c:v>13.7</c:v>
                </c:pt>
                <c:pt idx="6">
                  <c:v>422.4</c:v>
                </c:pt>
                <c:pt idx="7">
                  <c:v>1091.3</c:v>
                </c:pt>
                <c:pt idx="8">
                  <c:v>1005.4</c:v>
                </c:pt>
                <c:pt idx="9">
                  <c:v>132.19999999999999</c:v>
                </c:pt>
                <c:pt idx="10">
                  <c:v>49.8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4BACC6">
                <a:lumMod val="40000"/>
                <a:lumOff val="60000"/>
              </a:srgbClr>
            </a:solidFill>
          </c:spPr>
          <c:dLbls>
            <c:dLbl>
              <c:idx val="0"/>
              <c:layout>
                <c:manualLayout>
                  <c:x val="2.2736323751766211E-2"/>
                  <c:y val="1.0548986842882581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97,5*</a:t>
                    </a:r>
                    <a:endParaRPr lang="en-US" sz="750" b="1"/>
                  </a:p>
                </c:rich>
              </c:tx>
            </c:dLbl>
            <c:dLbl>
              <c:idx val="1"/>
              <c:layout>
                <c:manualLayout>
                  <c:x val="1.852847617552528E-2"/>
                  <c:y val="1.7667837674136887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70,6* </a:t>
                    </a:r>
                    <a:endParaRPr lang="en-US" sz="750" b="1"/>
                  </a:p>
                </c:rich>
              </c:tx>
            </c:dLbl>
            <c:dLbl>
              <c:idx val="2"/>
              <c:layout>
                <c:manualLayout>
                  <c:x val="8.5725144797616382E-3"/>
                  <c:y val="-3.5929817454490212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138,9*</a:t>
                    </a:r>
                    <a:endParaRPr lang="en-US" sz="750" b="1"/>
                  </a:p>
                </c:rich>
              </c:tx>
            </c:dLbl>
            <c:dLbl>
              <c:idx val="3"/>
              <c:layout>
                <c:manualLayout>
                  <c:x val="5.9807817831798137E-3"/>
                  <c:y val="-2.8837043517709569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104,8*</a:t>
                    </a:r>
                    <a:endParaRPr lang="en-US" sz="750" b="1"/>
                  </a:p>
                </c:rich>
              </c:tx>
            </c:dLbl>
            <c:dLbl>
              <c:idx val="4"/>
              <c:layout>
                <c:manualLayout>
                  <c:x val="1.0178053556526838E-2"/>
                  <c:y val="-2.8089559544606766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85,9*</a:t>
                    </a:r>
                    <a:endParaRPr lang="en-US" sz="750" b="1"/>
                  </a:p>
                </c:rich>
              </c:tx>
            </c:dLbl>
            <c:dLbl>
              <c:idx val="5"/>
              <c:layout>
                <c:manualLayout>
                  <c:x val="1.1765580718989862E-4"/>
                  <c:y val="-4.4552919631027532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52,0*</a:t>
                    </a:r>
                    <a:endParaRPr lang="en-US" sz="750" b="1"/>
                  </a:p>
                </c:rich>
              </c:tx>
            </c:dLbl>
            <c:dLbl>
              <c:idx val="6"/>
              <c:layout>
                <c:manualLayout>
                  <c:x val="-1.5053994431178788E-4"/>
                  <c:y val="-3.1384101462841582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121,2*</a:t>
                    </a:r>
                    <a:endParaRPr lang="en-US" sz="750" b="1"/>
                  </a:p>
                </c:rich>
              </c:tx>
            </c:dLbl>
            <c:dLbl>
              <c:idx val="7"/>
              <c:layout>
                <c:manualLayout>
                  <c:x val="6.5943435979212124E-3"/>
                  <c:y val="-8.3238578228570122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110,4*</a:t>
                    </a:r>
                    <a:endParaRPr lang="en-US" sz="750" b="1"/>
                  </a:p>
                </c:rich>
              </c:tx>
            </c:dLbl>
            <c:dLbl>
              <c:idx val="8"/>
              <c:layout>
                <c:manualLayout>
                  <c:x val="1.2889755517181583E-2"/>
                  <c:y val="-1.7309669088791554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103,4*</a:t>
                    </a:r>
                    <a:endParaRPr lang="en-US" sz="750" b="1"/>
                  </a:p>
                </c:rich>
              </c:tx>
            </c:dLbl>
            <c:dLbl>
              <c:idx val="9"/>
              <c:layout>
                <c:manualLayout>
                  <c:x val="2.1379646536837681E-3"/>
                  <c:y val="-3.0590422098876986E-2"/>
                </c:manualLayout>
              </c:layout>
              <c:tx>
                <c:rich>
                  <a:bodyPr/>
                  <a:lstStyle/>
                  <a:p>
                    <a:r>
                      <a:rPr lang="ru-RU" sz="750" b="1"/>
                      <a:t>85,7*</a:t>
                    </a:r>
                    <a:endParaRPr lang="en-US" sz="750" b="1"/>
                  </a:p>
                </c:rich>
              </c:tx>
            </c:dLbl>
            <c:dLbl>
              <c:idx val="10"/>
              <c:layout>
                <c:manualLayout>
                  <c:x val="9.6188579785344251E-3"/>
                  <c:y val="-4.6001806044340919E-3"/>
                </c:manualLayout>
              </c:layout>
              <c:tx>
                <c:rich>
                  <a:bodyPr/>
                  <a:lstStyle/>
                  <a:p>
                    <a:r>
                      <a:rPr lang="ru-RU" sz="750" b="1" baseline="0"/>
                      <a:t>45,2*</a:t>
                    </a:r>
                    <a:endParaRPr lang="en-US" sz="750" b="1"/>
                  </a:p>
                </c:rich>
              </c:tx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750" b="1"/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Электроэнергетика</c:v>
                </c:pt>
                <c:pt idx="1">
                  <c:v>Черная металлургия</c:v>
                </c:pt>
                <c:pt idx="2">
                  <c:v>Химическая промышленность</c:v>
                </c:pt>
                <c:pt idx="3">
                  <c:v>Машиностроение и металлообработка</c:v>
                </c:pt>
                <c:pt idx="4">
                  <c:v>Электротехническая промышленность</c:v>
                </c:pt>
                <c:pt idx="5">
                  <c:v>Лесная и деревообрабатывающая промышленность</c:v>
                </c:pt>
                <c:pt idx="6">
                  <c:v>Промышленность строительных материалов</c:v>
                </c:pt>
                <c:pt idx="7">
                  <c:v>Легкая промышленность</c:v>
                </c:pt>
                <c:pt idx="8">
                  <c:v>Пищевая промышленность</c:v>
                </c:pt>
                <c:pt idx="9">
                  <c:v>Мукомольно-крупянная и комбикормовая</c:v>
                </c:pt>
                <c:pt idx="10">
                  <c:v>Полиграфическая промышленность</c:v>
                </c:pt>
              </c:strCache>
            </c:strRef>
          </c:cat>
          <c:val>
            <c:numRef>
              <c:f>Лист1!$C$2:$C$12</c:f>
              <c:numCache>
                <c:formatCode>#,##0.0</c:formatCode>
                <c:ptCount val="11"/>
                <c:pt idx="0">
                  <c:v>3521</c:v>
                </c:pt>
                <c:pt idx="1">
                  <c:v>1550.4</c:v>
                </c:pt>
                <c:pt idx="2">
                  <c:v>169.2</c:v>
                </c:pt>
                <c:pt idx="3">
                  <c:v>218.5</c:v>
                </c:pt>
                <c:pt idx="4">
                  <c:v>156.80000000000001</c:v>
                </c:pt>
                <c:pt idx="5">
                  <c:v>7.1</c:v>
                </c:pt>
                <c:pt idx="6">
                  <c:v>511.9</c:v>
                </c:pt>
                <c:pt idx="7">
                  <c:v>1204.4000000000001</c:v>
                </c:pt>
                <c:pt idx="8">
                  <c:v>1039.9000000000001</c:v>
                </c:pt>
                <c:pt idx="9">
                  <c:v>113.3</c:v>
                </c:pt>
                <c:pt idx="10">
                  <c:v>22.5</c:v>
                </c:pt>
              </c:numCache>
            </c:numRef>
          </c:val>
        </c:ser>
        <c:shape val="cylinder"/>
        <c:axId val="102984704"/>
        <c:axId val="103002880"/>
        <c:axId val="0"/>
      </c:bar3DChart>
      <c:catAx>
        <c:axId val="102984704"/>
        <c:scaling>
          <c:orientation val="minMax"/>
        </c:scaling>
        <c:axPos val="b"/>
        <c:numFmt formatCode="General" sourceLinked="1"/>
        <c:tickLblPos val="nextTo"/>
        <c:txPr>
          <a:bodyPr rot="5400000" vert="horz"/>
          <a:lstStyle/>
          <a:p>
            <a:pPr>
              <a:defRPr sz="800" b="1"/>
            </a:pPr>
            <a:endParaRPr lang="ru-RU"/>
          </a:p>
        </c:txPr>
        <c:crossAx val="103002880"/>
        <c:crosses val="autoZero"/>
        <c:auto val="1"/>
        <c:lblAlgn val="ctr"/>
        <c:lblOffset val="100"/>
      </c:catAx>
      <c:valAx>
        <c:axId val="103002880"/>
        <c:scaling>
          <c:orientation val="minMax"/>
        </c:scaling>
        <c:axPos val="l"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2984704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1.7418677859391399E-2"/>
          <c:y val="0.87143428614831564"/>
          <c:w val="0.28859746676471332"/>
          <c:h val="0.12856571385168492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3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50"/>
              <a:t>Обьем производства по отрасли легкая промышленность,</a:t>
            </a:r>
            <a:r>
              <a:rPr lang="ru-RU" sz="1050" baseline="0"/>
              <a:t> </a:t>
            </a:r>
            <a:r>
              <a:rPr lang="ru-RU" sz="1050"/>
              <a:t>млн. руб.</a:t>
            </a:r>
          </a:p>
        </c:rich>
      </c:tx>
      <c:layout>
        <c:manualLayout>
          <c:xMode val="edge"/>
          <c:yMode val="edge"/>
          <c:x val="0.23817979609251463"/>
          <c:y val="7.8226552616174807E-3"/>
        </c:manualLayout>
      </c:layout>
      <c:spPr>
        <a:noFill/>
        <a:ln w="19217">
          <a:noFill/>
        </a:ln>
      </c:spPr>
    </c:title>
    <c:plotArea>
      <c:layout>
        <c:manualLayout>
          <c:layoutTarget val="inner"/>
          <c:xMode val="edge"/>
          <c:yMode val="edge"/>
          <c:x val="0.32546692064108623"/>
          <c:y val="0.22074339972209525"/>
          <c:w val="0.57282457566458722"/>
          <c:h val="0.525347383047706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lin ang="5400000" scaled="0"/>
            </a:gradFill>
            <a:ln w="19217"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Lbls>
            <c:dLbl>
              <c:idx val="0"/>
              <c:layout>
                <c:manualLayout>
                  <c:x val="-6.1600928543408193E-3"/>
                  <c:y val="1.6568837986160909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85,5%*</a:t>
                    </a:r>
                  </a:p>
                </c:rich>
              </c:tx>
              <c:dLblPos val="outEnd"/>
            </c:dLbl>
            <c:dLbl>
              <c:idx val="1"/>
              <c:layout>
                <c:manualLayout>
                  <c:x val="-8.2269916568595333E-3"/>
                  <c:y val="6.9242344706912044E-3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79,6%*</a:t>
                    </a:r>
                  </a:p>
                </c:rich>
              </c:tx>
              <c:dLblPos val="outEnd"/>
            </c:dLbl>
            <c:dLbl>
              <c:idx val="2"/>
              <c:layout>
                <c:manualLayout>
                  <c:x val="-6.41368252271520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100,3%*</a:t>
                    </a:r>
                    <a:endParaRPr lang="en-US" sz="850"/>
                  </a:p>
                </c:rich>
              </c:tx>
              <c:dLblPos val="outEnd"/>
            </c:dLbl>
            <c:spPr>
              <a:noFill/>
              <a:ln w="19217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обьем производства подотрасли</c:v>
                </c:pt>
                <c:pt idx="1">
                  <c:v>объем производства ЗАО "Тиротекс"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1091.3</c:v>
                </c:pt>
                <c:pt idx="1">
                  <c:v>501.6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>
              <a:gsLst>
                <a:gs pos="0">
                  <a:srgbClr val="FFEFD1"/>
                </a:gs>
                <a:gs pos="64999">
                  <a:srgbClr val="F0EBD5"/>
                </a:gs>
                <a:gs pos="100000">
                  <a:srgbClr val="D1C39F"/>
                </a:gs>
              </a:gsLst>
              <a:lin ang="5400000" scaled="0"/>
            </a:gradFill>
            <a:ln w="19217">
              <a:noFill/>
            </a:ln>
          </c:spPr>
          <c:dLbls>
            <c:dLbl>
              <c:idx val="0"/>
              <c:layout>
                <c:manualLayout>
                  <c:x val="-2.615936490219154E-3"/>
                  <c:y val="4.8335483488292814E-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800"/>
                      <a:t>110,4%</a:t>
                    </a:r>
                    <a:r>
                      <a:rPr lang="ru-RU" sz="900"/>
                      <a:t> *</a:t>
                    </a:r>
                  </a:p>
                </c:rich>
              </c:tx>
              <c:spPr>
                <a:noFill/>
                <a:ln w="19217">
                  <a:noFill/>
                </a:ln>
              </c:spPr>
              <c:dLblPos val="outEnd"/>
            </c:dLbl>
            <c:dLbl>
              <c:idx val="1"/>
              <c:layout>
                <c:manualLayout>
                  <c:x val="-8.1632554020115659E-3"/>
                  <c:y val="2.8712141319413792E-3"/>
                </c:manualLayout>
              </c:layout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850"/>
                      <a:t>126,0% *</a:t>
                    </a:r>
                  </a:p>
                </c:rich>
              </c:tx>
              <c:spPr>
                <a:noFill/>
                <a:ln w="19217">
                  <a:noFill/>
                </a:ln>
              </c:spPr>
              <c:dLblPos val="outEnd"/>
            </c:dLbl>
            <c:dLbl>
              <c:idx val="2"/>
              <c:layout>
                <c:manualLayout>
                  <c:x val="-1.6055863387446961E-4"/>
                  <c:y val="-6.3642532488316734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89,3%*</a:t>
                    </a:r>
                    <a:endParaRPr lang="en-US" sz="900"/>
                  </a:p>
                </c:rich>
              </c:tx>
              <c:dLblPos val="outEnd"/>
            </c:dLbl>
            <c:spPr>
              <a:noFill/>
              <a:ln w="19217">
                <a:noFill/>
              </a:ln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обьем производства подотрасли</c:v>
                </c:pt>
                <c:pt idx="1">
                  <c:v>объем производства ЗАО "Тиротекс"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1204.4000000000001</c:v>
                </c:pt>
                <c:pt idx="1">
                  <c:v>632.1</c:v>
                </c:pt>
              </c:numCache>
            </c:numRef>
          </c:val>
        </c:ser>
        <c:dLbls>
          <c:showVal val="1"/>
        </c:dLbls>
        <c:axId val="112253952"/>
        <c:axId val="112534272"/>
      </c:barChart>
      <c:catAx>
        <c:axId val="11225395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kern="0" baseline="0"/>
            </a:pPr>
            <a:endParaRPr lang="ru-RU"/>
          </a:p>
        </c:txPr>
        <c:crossAx val="112534272"/>
        <c:crosses val="autoZero"/>
        <c:auto val="1"/>
        <c:lblAlgn val="ctr"/>
        <c:lblOffset val="100"/>
      </c:catAx>
      <c:valAx>
        <c:axId val="11253427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7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750"/>
                  <a:t>* - темп роста 
к предыдущему году</a:t>
                </a:r>
              </a:p>
            </c:rich>
          </c:tx>
          <c:layout>
            <c:manualLayout>
              <c:xMode val="edge"/>
              <c:yMode val="edge"/>
              <c:x val="0"/>
              <c:y val="0.78966767615586564"/>
            </c:manualLayout>
          </c:layout>
          <c:spPr>
            <a:noFill/>
            <a:ln w="19217">
              <a:noFill/>
            </a:ln>
          </c:spPr>
        </c:title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2253952"/>
        <c:crosses val="autoZero"/>
        <c:crossBetween val="between"/>
        <c:majorUnit val="200"/>
      </c:valAx>
    </c:plotArea>
    <c:legend>
      <c:legendPos val="r"/>
      <c:layout>
        <c:manualLayout>
          <c:xMode val="edge"/>
          <c:yMode val="edge"/>
          <c:x val="0.8993047706824896"/>
          <c:y val="0.20889827795915755"/>
          <c:w val="9.8429775297274744E-2"/>
          <c:h val="0.30439103742981938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FF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50">
                <a:solidFill>
                  <a:sysClr val="windowText" lastClr="000000"/>
                </a:solidFill>
              </a:rPr>
              <a:t>Обьем производства в отрасли электроэнергетика,</a:t>
            </a:r>
            <a:r>
              <a:rPr lang="ru-RU" sz="1050" baseline="0">
                <a:solidFill>
                  <a:sysClr val="windowText" lastClr="000000"/>
                </a:solidFill>
              </a:rPr>
              <a:t> </a:t>
            </a:r>
            <a:r>
              <a:rPr lang="ru-RU" sz="1050">
                <a:solidFill>
                  <a:sysClr val="windowText" lastClr="000000"/>
                </a:solidFill>
              </a:rPr>
              <a:t>млн. руб.</a:t>
            </a:r>
          </a:p>
        </c:rich>
      </c:tx>
      <c:layout>
        <c:manualLayout>
          <c:xMode val="edge"/>
          <c:yMode val="edge"/>
          <c:x val="0.21939632545932652"/>
          <c:y val="0"/>
        </c:manualLayout>
      </c:layout>
      <c:spPr>
        <a:noFill/>
        <a:ln w="21571">
          <a:noFill/>
        </a:ln>
      </c:spPr>
    </c:title>
    <c:plotArea>
      <c:layout>
        <c:manualLayout>
          <c:layoutTarget val="inner"/>
          <c:xMode val="edge"/>
          <c:yMode val="edge"/>
          <c:x val="0.37949196474857438"/>
          <c:y val="0.12735581129281917"/>
          <c:w val="0.51487817522032142"/>
          <c:h val="0.5951228211858132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  <a:ln w="21571">
              <a:noFill/>
            </a:ln>
          </c:spPr>
          <c:dLbls>
            <c:dLbl>
              <c:idx val="0"/>
              <c:layout>
                <c:manualLayout>
                  <c:x val="-8.1915888041211027E-3"/>
                  <c:y val="1.170013123359603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119,0%*</a:t>
                    </a:r>
                  </a:p>
                </c:rich>
              </c:tx>
              <c:dLblPos val="outEnd"/>
            </c:dLbl>
            <c:dLbl>
              <c:idx val="1"/>
              <c:layout>
                <c:manualLayout>
                  <c:x val="3.0126172020099409E-3"/>
                  <c:y val="-3.4935056194898713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115,7%*</a:t>
                    </a:r>
                  </a:p>
                </c:rich>
              </c:tx>
              <c:dLblPos val="outEnd"/>
            </c:dLbl>
            <c:dLbl>
              <c:idx val="2"/>
              <c:layout>
                <c:manualLayout>
                  <c:x val="1.82646286861218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98,2%*</a:t>
                    </a:r>
                    <a:endParaRPr lang="en-US" sz="800"/>
                  </a:p>
                </c:rich>
              </c:tx>
              <c:dLblPos val="outEnd"/>
            </c:dLbl>
            <c:spPr>
              <a:noFill/>
              <a:ln w="2157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обьем производства подотрасли</c:v>
                </c:pt>
                <c:pt idx="1">
                  <c:v>объем производства ЗАО "Молдавская ГРЭС"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3612.2</c:v>
                </c:pt>
                <c:pt idx="1">
                  <c:v>3084.7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  <a:ln w="21571">
              <a:noFill/>
            </a:ln>
          </c:spPr>
          <c:dLbls>
            <c:dLbl>
              <c:idx val="0"/>
              <c:layout>
                <c:manualLayout>
                  <c:x val="-6.5524546601192736E-3"/>
                  <c:y val="3.3687724518306292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97,5</a:t>
                    </a:r>
                    <a:r>
                      <a:rPr lang="ru-RU" sz="800" baseline="0"/>
                      <a:t>%*</a:t>
                    </a:r>
                    <a:endParaRPr lang="en-US" sz="800"/>
                  </a:p>
                </c:rich>
              </c:tx>
              <c:dLblPos val="outEnd"/>
            </c:dLbl>
            <c:dLbl>
              <c:idx val="1"/>
              <c:layout>
                <c:manualLayout>
                  <c:x val="-2.5307878505855623E-5"/>
                  <c:y val="5.2897233999596492E-4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800"/>
                      <a:t>96,6% *</a:t>
                    </a:r>
                  </a:p>
                </c:rich>
              </c:tx>
              <c:spPr>
                <a:noFill/>
                <a:ln w="21571">
                  <a:noFill/>
                </a:ln>
              </c:spPr>
              <c:dLblPos val="outEnd"/>
            </c:dLbl>
            <c:dLbl>
              <c:idx val="2"/>
              <c:layout>
                <c:manualLayout>
                  <c:x val="6.47172549066972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95,2%*</a:t>
                    </a:r>
                    <a:endParaRPr lang="en-US" sz="800"/>
                  </a:p>
                </c:rich>
              </c:tx>
              <c:dLblPos val="outEnd"/>
            </c:dLbl>
            <c:spPr>
              <a:noFill/>
              <a:ln w="21571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обьем производства подотрасли</c:v>
                </c:pt>
                <c:pt idx="1">
                  <c:v>объем производства ЗАО "Молдавская ГРЭС"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3521</c:v>
                </c:pt>
                <c:pt idx="1">
                  <c:v>2980.4</c:v>
                </c:pt>
              </c:numCache>
            </c:numRef>
          </c:val>
        </c:ser>
        <c:dLbls>
          <c:showVal val="1"/>
        </c:dLbls>
        <c:axId val="112249856"/>
        <c:axId val="112624384"/>
      </c:barChart>
      <c:catAx>
        <c:axId val="112249856"/>
        <c:scaling>
          <c:orientation val="minMax"/>
        </c:scaling>
        <c:axPos val="l"/>
        <c:numFmt formatCode="General" sourceLinked="1"/>
        <c:tickLblPos val="nextTo"/>
        <c:crossAx val="112624384"/>
        <c:crosses val="autoZero"/>
        <c:auto val="1"/>
        <c:lblAlgn val="ctr"/>
        <c:lblOffset val="100"/>
      </c:catAx>
      <c:valAx>
        <c:axId val="11262438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84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* - темп роста 
к предыдущему году</a:t>
                </a:r>
              </a:p>
            </c:rich>
          </c:tx>
          <c:layout>
            <c:manualLayout>
              <c:xMode val="edge"/>
              <c:yMode val="edge"/>
              <c:x val="2.0736132711249456E-3"/>
              <c:y val="0.75919559350856225"/>
            </c:manualLayout>
          </c:layout>
          <c:spPr>
            <a:noFill/>
            <a:ln w="21571">
              <a:noFill/>
            </a:ln>
          </c:spPr>
        </c:title>
        <c:numFmt formatCode="0.0" sourceLinked="1"/>
        <c:tickLblPos val="nextTo"/>
        <c:crossAx val="112249856"/>
        <c:crosses val="autoZero"/>
        <c:crossBetween val="between"/>
        <c:majorUnit val="1000"/>
      </c:valAx>
    </c:plotArea>
    <c:legend>
      <c:legendPos val="r"/>
      <c:layout>
        <c:manualLayout>
          <c:xMode val="edge"/>
          <c:yMode val="edge"/>
          <c:x val="0.91442195460861564"/>
          <c:y val="6.0715797622072104E-2"/>
          <c:w val="7.0720256982802404E-2"/>
          <c:h val="0.45184136474319825"/>
        </c:manualLayout>
      </c:layout>
      <c:txPr>
        <a:bodyPr/>
        <a:lstStyle/>
        <a:p>
          <a:pPr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32824951733354291"/>
          <c:y val="6.4456721915286563E-2"/>
          <c:w val="0.62508600650860568"/>
          <c:h val="0.5706477574281213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январь - декабрь 2015 года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dLbls>
            <c:dLbl>
              <c:idx val="0"/>
              <c:layout>
                <c:manualLayout>
                  <c:x val="-1.804222170973413E-2"/>
                  <c:y val="3.4448818897637812E-3"/>
                </c:manualLayout>
              </c:layout>
              <c:tx>
                <c:rich>
                  <a:bodyPr/>
                  <a:lstStyle/>
                  <a:p>
                    <a:r>
                      <a:rPr lang="ru-RU" sz="880"/>
                      <a:t>-25,6*</a:t>
                    </a:r>
                    <a:endParaRPr lang="en-US" sz="900"/>
                  </a:p>
                </c:rich>
              </c:tx>
              <c:dLblPos val="outEnd"/>
            </c:dLbl>
            <c:dLbl>
              <c:idx val="1"/>
              <c:layout>
                <c:manualLayout>
                  <c:x val="-1.1157601115760149E-2"/>
                  <c:y val="3.333267716535461E-2"/>
                </c:manualLayout>
              </c:layout>
              <c:tx>
                <c:rich>
                  <a:bodyPr/>
                  <a:lstStyle/>
                  <a:p>
                    <a:r>
                      <a:rPr lang="ru-RU" sz="880"/>
                      <a:t>-14,7*</a:t>
                    </a:r>
                    <a:endParaRPr lang="en-US" sz="900"/>
                  </a:p>
                </c:rich>
              </c:tx>
            </c:dLbl>
            <c:dLbl>
              <c:idx val="2"/>
              <c:layout>
                <c:manualLayout>
                  <c:x val="-1.6736401673640221E-2"/>
                  <c:y val="3.3333333333333402E-2"/>
                </c:manualLayout>
              </c:layout>
              <c:tx>
                <c:rich>
                  <a:bodyPr/>
                  <a:lstStyle/>
                  <a:p>
                    <a:r>
                      <a:rPr lang="ru-RU" sz="880"/>
                      <a:t>-30,4*</a:t>
                    </a:r>
                    <a:endParaRPr lang="en-US" sz="900"/>
                  </a:p>
                </c:rich>
              </c:tx>
            </c:dLbl>
            <c:dLbl>
              <c:idx val="3"/>
              <c:delete val="1"/>
            </c:dLbl>
            <c:spPr>
              <a:noFill/>
              <a:ln w="24830">
                <a:noFill/>
              </a:ln>
            </c:spPr>
            <c:txPr>
              <a:bodyPr/>
              <a:lstStyle/>
              <a:p>
                <a:pPr>
                  <a:defRPr sz="880"/>
                </a:pPr>
                <a:endParaRPr lang="ru-RU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ВТО</c:v>
                </c:pt>
                <c:pt idx="1">
                  <c:v>Экспорт</c:v>
                </c:pt>
                <c:pt idx="2">
                  <c:v>Импорт</c:v>
                </c:pt>
                <c:pt idx="3">
                  <c:v>Сальдо</c:v>
                </c:pt>
              </c:strCache>
            </c:strRef>
          </c:cat>
          <c:val>
            <c:numRef>
              <c:f>Sheet1!$B$2:$B$5</c:f>
              <c:numCache>
                <c:formatCode>#,##0.0</c:formatCode>
                <c:ptCount val="4"/>
                <c:pt idx="0">
                  <c:v>1749.3819999999998</c:v>
                </c:pt>
                <c:pt idx="1">
                  <c:v>611.1</c:v>
                </c:pt>
                <c:pt idx="2">
                  <c:v>1138.2819999999999</c:v>
                </c:pt>
                <c:pt idx="3">
                  <c:v>-527.1819999999999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январь - декабрь 2016 года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dLbls>
            <c:dLbl>
              <c:idx val="0"/>
              <c:layout>
                <c:manualLayout>
                  <c:x val="2.5877581201931347E-2"/>
                  <c:y val="2.2645669291338578E-2"/>
                </c:manualLayout>
              </c:layout>
              <c:tx>
                <c:rich>
                  <a:bodyPr/>
                  <a:lstStyle/>
                  <a:p>
                    <a:r>
                      <a:rPr lang="ru-RU" sz="880">
                        <a:solidFill>
                          <a:sysClr val="windowText" lastClr="000000"/>
                        </a:solidFill>
                      </a:rPr>
                      <a:t>-20,6*</a:t>
                    </a:r>
                    <a:endParaRPr lang="en-US" sz="90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</c:dLbl>
            <c:dLbl>
              <c:idx val="1"/>
              <c:layout>
                <c:manualLayout>
                  <c:x val="2.3265794704532227E-2"/>
                  <c:y val="2.7354330708661612E-2"/>
                </c:manualLayout>
              </c:layout>
              <c:tx>
                <c:rich>
                  <a:bodyPr/>
                  <a:lstStyle/>
                  <a:p>
                    <a:r>
                      <a:rPr lang="ru-RU" sz="880">
                        <a:solidFill>
                          <a:sysClr val="windowText" lastClr="000000"/>
                        </a:solidFill>
                      </a:rPr>
                      <a:t>-13,2*</a:t>
                    </a:r>
                    <a:endParaRPr lang="en-US" sz="90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</c:dLbl>
            <c:dLbl>
              <c:idx val="2"/>
              <c:layout>
                <c:manualLayout>
                  <c:x val="2.9596781573851386E-2"/>
                  <c:y val="2.8624671916010497E-2"/>
                </c:manualLayout>
              </c:layout>
              <c:tx>
                <c:rich>
                  <a:bodyPr/>
                  <a:lstStyle/>
                  <a:p>
                    <a:r>
                      <a:rPr lang="ru-RU" sz="880">
                        <a:solidFill>
                          <a:sysClr val="windowText" lastClr="000000"/>
                        </a:solidFill>
                      </a:rPr>
                      <a:t>-24,6*</a:t>
                    </a:r>
                    <a:endParaRPr lang="en-US" sz="90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</c:dLbl>
            <c:dLbl>
              <c:idx val="3"/>
              <c:delete val="1"/>
            </c:dLbl>
            <c:spPr>
              <a:noFill/>
              <a:ln w="24830">
                <a:noFill/>
              </a:ln>
            </c:spPr>
            <c:txPr>
              <a:bodyPr/>
              <a:lstStyle/>
              <a:p>
                <a:pPr>
                  <a:defRPr sz="88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ВТО</c:v>
                </c:pt>
                <c:pt idx="1">
                  <c:v>Экспорт</c:v>
                </c:pt>
                <c:pt idx="2">
                  <c:v>Импорт</c:v>
                </c:pt>
                <c:pt idx="3">
                  <c:v>Сальдо</c:v>
                </c:pt>
              </c:strCache>
            </c:strRef>
          </c:cat>
          <c:val>
            <c:numRef>
              <c:f>Sheet1!$C$2:$C$5</c:f>
              <c:numCache>
                <c:formatCode>#,##0.0</c:formatCode>
                <c:ptCount val="4"/>
                <c:pt idx="0">
                  <c:v>1388.1509999999998</c:v>
                </c:pt>
                <c:pt idx="1">
                  <c:v>530.35599999999749</c:v>
                </c:pt>
                <c:pt idx="2">
                  <c:v>857.79500000000053</c:v>
                </c:pt>
                <c:pt idx="3">
                  <c:v>-327.4389999999982</c:v>
                </c:pt>
              </c:numCache>
            </c:numRef>
          </c:val>
        </c:ser>
        <c:gapWidth val="50"/>
        <c:overlap val="51"/>
        <c:axId val="112650496"/>
        <c:axId val="118005760"/>
      </c:barChart>
      <c:catAx>
        <c:axId val="112650496"/>
        <c:scaling>
          <c:orientation val="minMax"/>
        </c:scaling>
        <c:axPos val="b"/>
        <c:numFmt formatCode="General" sourceLinked="1"/>
        <c:majorTickMark val="cross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8005760"/>
        <c:crosses val="autoZero"/>
        <c:lblAlgn val="ctr"/>
        <c:lblOffset val="20"/>
        <c:tickMarkSkip val="1"/>
      </c:catAx>
      <c:valAx>
        <c:axId val="11800576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78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* - темп прироста (спада) в % к </a:t>
                </a:r>
              </a:p>
              <a:p>
                <a:pPr algn="ctr"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78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предыдущему </a:t>
                </a:r>
              </a:p>
              <a:p>
                <a:pPr algn="ctr"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78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году</a:t>
                </a:r>
              </a:p>
            </c:rich>
          </c:tx>
          <c:layout>
            <c:manualLayout>
              <c:xMode val="edge"/>
              <c:yMode val="edge"/>
              <c:x val="6.5543878144938991E-2"/>
              <c:y val="0.10669488188976378"/>
            </c:manualLayout>
          </c:layout>
          <c:spPr>
            <a:noFill/>
            <a:ln w="24830">
              <a:noFill/>
            </a:ln>
          </c:spPr>
        </c:title>
        <c:numFmt formatCode="#,##0.0" sourceLinked="1"/>
        <c:majorTickMark val="cross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26504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0.92717</cdr:y>
    </cdr:from>
    <cdr:to>
      <cdr:x>0.1892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152775"/>
          <a:ext cx="1123950" cy="2476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0.7675</cdr:x>
      <cdr:y>0.03636</cdr:y>
    </cdr:from>
    <cdr:to>
      <cdr:x>1</cdr:x>
      <cdr:y>0.17081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98265" y="95250"/>
          <a:ext cx="1392960" cy="352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 pitchFamily="18" charset="0"/>
              <a:cs typeface="Times New Roman" pitchFamily="18" charset="0"/>
            </a:rPr>
            <a:t>*</a:t>
          </a:r>
          <a:r>
            <a:rPr lang="en-US" sz="900" baseline="0">
              <a:latin typeface="Times New Roman" pitchFamily="18" charset="0"/>
              <a:cs typeface="Times New Roman" pitchFamily="18" charset="0"/>
            </a:rPr>
            <a:t> - </a:t>
          </a:r>
          <a:r>
            <a:rPr lang="ru-RU" sz="900" baseline="0">
              <a:latin typeface="Times New Roman" pitchFamily="18" charset="0"/>
              <a:cs typeface="Times New Roman" pitchFamily="18" charset="0"/>
            </a:rPr>
            <a:t>темп роста к </a:t>
          </a:r>
        </a:p>
        <a:p xmlns:a="http://schemas.openxmlformats.org/drawingml/2006/main">
          <a:r>
            <a:rPr lang="ru-RU" sz="900" baseline="0">
              <a:latin typeface="Times New Roman" pitchFamily="18" charset="0"/>
              <a:cs typeface="Times New Roman" pitchFamily="18" charset="0"/>
            </a:rPr>
            <a:t>соответствующему</a:t>
          </a:r>
        </a:p>
        <a:p xmlns:a="http://schemas.openxmlformats.org/drawingml/2006/main">
          <a:r>
            <a:rPr lang="ru-RU" sz="900" baseline="0">
              <a:latin typeface="Times New Roman" pitchFamily="18" charset="0"/>
              <a:cs typeface="Times New Roman" pitchFamily="18" charset="0"/>
            </a:rPr>
            <a:t> периоду прошлого года,%</a:t>
          </a:r>
          <a:endParaRPr lang="ru-RU" sz="9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0.92717</cdr:y>
    </cdr:from>
    <cdr:to>
      <cdr:x>0.1892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152775"/>
          <a:ext cx="1123950" cy="2476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0.7675</cdr:x>
      <cdr:y>0.03636</cdr:y>
    </cdr:from>
    <cdr:to>
      <cdr:x>1</cdr:x>
      <cdr:y>0.17081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98265" y="95250"/>
          <a:ext cx="1392960" cy="352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imes New Roman" pitchFamily="18" charset="0"/>
              <a:cs typeface="Times New Roman" pitchFamily="18" charset="0"/>
            </a:rPr>
            <a:t>*</a:t>
          </a:r>
          <a:r>
            <a:rPr lang="en-US" sz="900" baseline="0">
              <a:latin typeface="Times New Roman" pitchFamily="18" charset="0"/>
              <a:cs typeface="Times New Roman" pitchFamily="18" charset="0"/>
            </a:rPr>
            <a:t> - </a:t>
          </a:r>
          <a:r>
            <a:rPr lang="ru-RU" sz="900" baseline="0">
              <a:latin typeface="Times New Roman" pitchFamily="18" charset="0"/>
              <a:cs typeface="Times New Roman" pitchFamily="18" charset="0"/>
            </a:rPr>
            <a:t>темп роста к </a:t>
          </a:r>
        </a:p>
        <a:p xmlns:a="http://schemas.openxmlformats.org/drawingml/2006/main">
          <a:r>
            <a:rPr lang="ru-RU" sz="900" baseline="0">
              <a:latin typeface="Times New Roman" pitchFamily="18" charset="0"/>
              <a:cs typeface="Times New Roman" pitchFamily="18" charset="0"/>
            </a:rPr>
            <a:t>соответствующему</a:t>
          </a:r>
        </a:p>
        <a:p xmlns:a="http://schemas.openxmlformats.org/drawingml/2006/main">
          <a:r>
            <a:rPr lang="ru-RU" sz="900" baseline="0">
              <a:latin typeface="Times New Roman" pitchFamily="18" charset="0"/>
              <a:cs typeface="Times New Roman" pitchFamily="18" charset="0"/>
            </a:rPr>
            <a:t> периоду прошлого года,%</a:t>
          </a:r>
          <a:endParaRPr lang="ru-RU" sz="9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A24C-D20D-4379-B376-C613219E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11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kovalenko-k</dc:creator>
  <cp:lastModifiedBy>kovalenko-k</cp:lastModifiedBy>
  <cp:revision>183</cp:revision>
  <cp:lastPrinted>2017-01-24T09:07:00Z</cp:lastPrinted>
  <dcterms:created xsi:type="dcterms:W3CDTF">2016-08-17T06:35:00Z</dcterms:created>
  <dcterms:modified xsi:type="dcterms:W3CDTF">2017-01-26T08:14:00Z</dcterms:modified>
</cp:coreProperties>
</file>